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A012" w14:textId="7949E395" w:rsidR="001B766B" w:rsidRDefault="001B766B" w:rsidP="00F214CD">
      <w:pPr>
        <w:spacing w:line="280" w:lineRule="exact"/>
        <w:jc w:val="both"/>
        <w:rPr>
          <w:rFonts w:ascii="Calibri" w:hAnsi="Calibri"/>
          <w:color w:val="00B05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4664"/>
      </w:tblGrid>
      <w:tr w:rsidR="00114341" w14:paraId="67822789" w14:textId="77777777" w:rsidTr="001730A8">
        <w:tc>
          <w:tcPr>
            <w:tcW w:w="5826" w:type="dxa"/>
            <w:gridSpan w:val="2"/>
          </w:tcPr>
          <w:p w14:paraId="6759B6D1" w14:textId="04139F04" w:rsidR="00114341" w:rsidRDefault="007E01CF" w:rsidP="007E01CF">
            <w:pPr>
              <w:spacing w:line="320" w:lineRule="exact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Umowa najmu lokalu mieszkalnego</w:t>
            </w:r>
            <w:r w:rsidR="00114341" w:rsidRPr="00313ACF">
              <w:rPr>
                <w:rFonts w:ascii="Calibri" w:hAnsi="Calibri"/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6A6A6" w:themeColor="background1" w:themeShade="A6"/>
                <w:sz w:val="28"/>
                <w:szCs w:val="28"/>
              </w:rPr>
              <w:br/>
            </w:r>
            <w:r w:rsidRPr="007E01C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zawarta w dniu</w:t>
            </w:r>
            <w:r w:rsidRPr="007E01CF">
              <w:rPr>
                <w:rFonts w:ascii="Calibri" w:hAnsi="Calibri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114341" w:rsidRPr="00313ACF">
              <w:rPr>
                <w:rFonts w:ascii="Calibri" w:hAnsi="Calibri"/>
                <w:smallCaps/>
                <w:sz w:val="28"/>
                <w:szCs w:val="28"/>
              </w:rPr>
              <w:t>[data]</w:t>
            </w:r>
            <w:r>
              <w:rPr>
                <w:rFonts w:ascii="Calibri" w:hAnsi="Calibri"/>
                <w:smallCaps/>
                <w:sz w:val="28"/>
                <w:szCs w:val="28"/>
              </w:rPr>
              <w:t xml:space="preserve"> </w:t>
            </w:r>
            <w:r w:rsidRPr="007E01CF">
              <w:rPr>
                <w:rFonts w:ascii="Calibri" w:hAnsi="Calibri"/>
                <w:b/>
                <w:sz w:val="28"/>
                <w:szCs w:val="28"/>
              </w:rPr>
              <w:t>w</w:t>
            </w:r>
            <w:r>
              <w:rPr>
                <w:rFonts w:ascii="Calibri" w:hAnsi="Calibri"/>
                <w:smallCaps/>
                <w:sz w:val="28"/>
                <w:szCs w:val="28"/>
              </w:rPr>
              <w:t xml:space="preserve"> </w:t>
            </w:r>
            <w:r w:rsidRPr="00313ACF">
              <w:rPr>
                <w:rFonts w:ascii="Calibri" w:hAnsi="Calibri"/>
                <w:smallCaps/>
                <w:sz w:val="28"/>
                <w:szCs w:val="28"/>
              </w:rPr>
              <w:t>[</w:t>
            </w:r>
            <w:r>
              <w:rPr>
                <w:rFonts w:ascii="Calibri" w:hAnsi="Calibri"/>
                <w:smallCaps/>
                <w:sz w:val="28"/>
                <w:szCs w:val="28"/>
              </w:rPr>
              <w:t>miejscowość</w:t>
            </w:r>
            <w:r w:rsidRPr="00313ACF">
              <w:rPr>
                <w:rFonts w:ascii="Calibri" w:hAnsi="Calibri"/>
                <w:smallCaps/>
                <w:sz w:val="28"/>
                <w:szCs w:val="28"/>
              </w:rPr>
              <w:t>]</w:t>
            </w:r>
          </w:p>
        </w:tc>
        <w:tc>
          <w:tcPr>
            <w:tcW w:w="4664" w:type="dxa"/>
          </w:tcPr>
          <w:p w14:paraId="55EC5B94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20D044CD" w14:textId="77777777" w:rsidTr="001730A8">
        <w:trPr>
          <w:trHeight w:val="567"/>
        </w:trPr>
        <w:tc>
          <w:tcPr>
            <w:tcW w:w="10490" w:type="dxa"/>
            <w:gridSpan w:val="3"/>
          </w:tcPr>
          <w:p w14:paraId="0E02E9CE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5FD6040C" w14:textId="77777777" w:rsidTr="001730A8">
        <w:tc>
          <w:tcPr>
            <w:tcW w:w="2330" w:type="dxa"/>
          </w:tcPr>
          <w:p w14:paraId="30587F02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  <w:tc>
          <w:tcPr>
            <w:tcW w:w="8160" w:type="dxa"/>
            <w:gridSpan w:val="2"/>
          </w:tcPr>
          <w:p w14:paraId="2F09F973" w14:textId="37DA4803" w:rsidR="00114341" w:rsidRPr="007E01CF" w:rsidRDefault="007E01CF" w:rsidP="00F214CD">
            <w:pPr>
              <w:spacing w:line="280" w:lineRule="exact"/>
              <w:jc w:val="both"/>
              <w:rPr>
                <w:rFonts w:ascii="Calibri" w:hAnsi="Calibri"/>
              </w:rPr>
            </w:pPr>
            <w:r w:rsidRPr="007E01CF">
              <w:rPr>
                <w:rFonts w:ascii="Calibri" w:hAnsi="Calibri"/>
              </w:rPr>
              <w:t>pomiędzy</w:t>
            </w:r>
          </w:p>
          <w:p w14:paraId="35FDACAC" w14:textId="3D09763E" w:rsidR="00114341" w:rsidRPr="007E01CF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0EBEEF35" w14:textId="77777777" w:rsidTr="001730A8">
        <w:tc>
          <w:tcPr>
            <w:tcW w:w="2330" w:type="dxa"/>
          </w:tcPr>
          <w:p w14:paraId="440C8488" w14:textId="4C0962A5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  <w:tc>
          <w:tcPr>
            <w:tcW w:w="8160" w:type="dxa"/>
            <w:gridSpan w:val="2"/>
          </w:tcPr>
          <w:p w14:paraId="3EDE7186" w14:textId="62438EC2" w:rsidR="007E01CF" w:rsidRPr="007E01CF" w:rsidRDefault="007E01CF" w:rsidP="00F214CD">
            <w:pPr>
              <w:spacing w:line="280" w:lineRule="exact"/>
              <w:jc w:val="both"/>
              <w:rPr>
                <w:color w:val="000000" w:themeColor="text1"/>
              </w:rPr>
            </w:pPr>
            <w:r w:rsidRPr="007E01CF">
              <w:rPr>
                <w:rFonts w:ascii="Calibri" w:hAnsi="Calibri"/>
                <w:smallCaps/>
                <w:color w:val="000000" w:themeColor="text1"/>
              </w:rPr>
              <w:t xml:space="preserve">[imię i nazwisko] </w:t>
            </w:r>
            <w:r w:rsidRPr="007E01CF">
              <w:rPr>
                <w:color w:val="000000" w:themeColor="text1"/>
              </w:rPr>
              <w:t xml:space="preserve">zamieszkałym/zamieszkałą w </w:t>
            </w:r>
            <w:r w:rsidRPr="007E01CF">
              <w:rPr>
                <w:smallCaps/>
                <w:color w:val="000000" w:themeColor="text1"/>
              </w:rPr>
              <w:t>[dokładny adres]</w:t>
            </w:r>
            <w:r w:rsidRPr="007E01CF">
              <w:rPr>
                <w:color w:val="000000" w:themeColor="text1"/>
              </w:rPr>
              <w:t xml:space="preserve"> legitymującym się dow</w:t>
            </w:r>
            <w:r w:rsidRPr="007E01CF">
              <w:rPr>
                <w:color w:val="000000" w:themeColor="text1"/>
              </w:rPr>
              <w:t>o</w:t>
            </w:r>
            <w:r w:rsidRPr="007E01CF">
              <w:rPr>
                <w:color w:val="000000" w:themeColor="text1"/>
              </w:rPr>
              <w:t xml:space="preserve">dem osobistym </w:t>
            </w:r>
            <w:r w:rsidRPr="007E01CF">
              <w:rPr>
                <w:smallCaps/>
                <w:color w:val="000000" w:themeColor="text1"/>
              </w:rPr>
              <w:t>[seria i numer],</w:t>
            </w:r>
            <w:r w:rsidRPr="007E01CF">
              <w:rPr>
                <w:color w:val="000000" w:themeColor="text1"/>
              </w:rPr>
              <w:t xml:space="preserve"> o numerze PESEL </w:t>
            </w:r>
            <w:r w:rsidRPr="007E01CF">
              <w:rPr>
                <w:smallCaps/>
                <w:color w:val="000000" w:themeColor="text1"/>
              </w:rPr>
              <w:t xml:space="preserve">[numer PESEL] </w:t>
            </w:r>
            <w:r w:rsidRPr="007E01CF">
              <w:rPr>
                <w:color w:val="000000" w:themeColor="text1"/>
              </w:rPr>
              <w:t>zwanym/-ą dalej Wyna</w:t>
            </w:r>
            <w:r w:rsidRPr="007E01CF">
              <w:rPr>
                <w:color w:val="000000" w:themeColor="text1"/>
              </w:rPr>
              <w:t>j</w:t>
            </w:r>
            <w:r w:rsidRPr="007E01CF">
              <w:rPr>
                <w:color w:val="000000" w:themeColor="text1"/>
              </w:rPr>
              <w:t>mującym</w:t>
            </w:r>
          </w:p>
          <w:p w14:paraId="2CC31D83" w14:textId="77777777" w:rsidR="00114341" w:rsidRPr="007E01CF" w:rsidRDefault="007E01CF" w:rsidP="00F214CD">
            <w:pPr>
              <w:spacing w:line="280" w:lineRule="exact"/>
              <w:jc w:val="both"/>
              <w:rPr>
                <w:rFonts w:ascii="Calibri" w:hAnsi="Calibri"/>
                <w:color w:val="000000" w:themeColor="text1"/>
              </w:rPr>
            </w:pPr>
            <w:r w:rsidRPr="007E01CF">
              <w:rPr>
                <w:rFonts w:ascii="Calibri" w:hAnsi="Calibri"/>
                <w:color w:val="000000" w:themeColor="text1"/>
              </w:rPr>
              <w:t>a</w:t>
            </w:r>
          </w:p>
          <w:p w14:paraId="1487B403" w14:textId="131AD138" w:rsidR="007E01CF" w:rsidRPr="007E01CF" w:rsidRDefault="007E01CF" w:rsidP="007E01CF">
            <w:pPr>
              <w:spacing w:line="280" w:lineRule="exact"/>
              <w:jc w:val="both"/>
              <w:rPr>
                <w:color w:val="000000" w:themeColor="text1"/>
              </w:rPr>
            </w:pPr>
            <w:r w:rsidRPr="007E01CF">
              <w:rPr>
                <w:rFonts w:ascii="Calibri" w:hAnsi="Calibri"/>
                <w:smallCaps/>
                <w:color w:val="000000" w:themeColor="text1"/>
              </w:rPr>
              <w:t xml:space="preserve">[imię i nazwisko] </w:t>
            </w:r>
            <w:r w:rsidRPr="007E01CF">
              <w:rPr>
                <w:color w:val="000000" w:themeColor="text1"/>
              </w:rPr>
              <w:t xml:space="preserve">zamieszkałym/zamieszkałą w </w:t>
            </w:r>
            <w:r w:rsidRPr="007E01CF">
              <w:rPr>
                <w:smallCaps/>
                <w:color w:val="000000" w:themeColor="text1"/>
              </w:rPr>
              <w:t>[dokładny adres]</w:t>
            </w:r>
            <w:r w:rsidRPr="007E01CF">
              <w:rPr>
                <w:color w:val="000000" w:themeColor="text1"/>
              </w:rPr>
              <w:t xml:space="preserve"> legitymującym się dow</w:t>
            </w:r>
            <w:r w:rsidRPr="007E01CF">
              <w:rPr>
                <w:color w:val="000000" w:themeColor="text1"/>
              </w:rPr>
              <w:t>o</w:t>
            </w:r>
            <w:r w:rsidRPr="00063158">
              <w:rPr>
                <w:color w:val="000000" w:themeColor="text1"/>
                <w:spacing w:val="-1"/>
              </w:rPr>
              <w:t xml:space="preserve">dem osobistym </w:t>
            </w:r>
            <w:r w:rsidRPr="00063158">
              <w:rPr>
                <w:smallCaps/>
                <w:color w:val="000000" w:themeColor="text1"/>
                <w:spacing w:val="-1"/>
              </w:rPr>
              <w:t>[seria i numer],</w:t>
            </w:r>
            <w:r w:rsidRPr="00063158">
              <w:rPr>
                <w:color w:val="000000" w:themeColor="text1"/>
                <w:spacing w:val="-1"/>
              </w:rPr>
              <w:t xml:space="preserve"> o numerze PESEL </w:t>
            </w:r>
            <w:r w:rsidRPr="00063158">
              <w:rPr>
                <w:smallCaps/>
                <w:color w:val="000000" w:themeColor="text1"/>
                <w:spacing w:val="-1"/>
              </w:rPr>
              <w:t xml:space="preserve">[numer PESEL] </w:t>
            </w:r>
            <w:r w:rsidRPr="00063158">
              <w:rPr>
                <w:color w:val="000000" w:themeColor="text1"/>
                <w:spacing w:val="-1"/>
              </w:rPr>
              <w:t>zwanym/-ą dalej Naje</w:t>
            </w:r>
            <w:r w:rsidRPr="00063158">
              <w:rPr>
                <w:color w:val="000000" w:themeColor="text1"/>
                <w:spacing w:val="-1"/>
              </w:rPr>
              <w:t>m</w:t>
            </w:r>
            <w:r w:rsidRPr="00063158">
              <w:rPr>
                <w:color w:val="000000" w:themeColor="text1"/>
                <w:spacing w:val="-1"/>
              </w:rPr>
              <w:t>cą</w:t>
            </w:r>
          </w:p>
          <w:p w14:paraId="06D8F9F5" w14:textId="770AF64C" w:rsidR="007E01CF" w:rsidRPr="007E01CF" w:rsidRDefault="007E01CF" w:rsidP="007E01CF">
            <w:pPr>
              <w:jc w:val="both"/>
              <w:rPr>
                <w:color w:val="000000" w:themeColor="text1"/>
              </w:rPr>
            </w:pPr>
            <w:r w:rsidRPr="007E01CF">
              <w:rPr>
                <w:color w:val="000000" w:themeColor="text1"/>
              </w:rPr>
              <w:t>zwanymi również łącznie Stronami.</w:t>
            </w:r>
          </w:p>
          <w:p w14:paraId="2F454042" w14:textId="54C88C81" w:rsidR="007E01CF" w:rsidRPr="007E01CF" w:rsidRDefault="007E01CF" w:rsidP="00F214CD">
            <w:pPr>
              <w:spacing w:line="280" w:lineRule="exact"/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114341" w14:paraId="35BB74BD" w14:textId="77777777" w:rsidTr="001730A8">
        <w:tc>
          <w:tcPr>
            <w:tcW w:w="2330" w:type="dxa"/>
          </w:tcPr>
          <w:p w14:paraId="52556124" w14:textId="534DE028" w:rsidR="00114341" w:rsidRPr="007E01CF" w:rsidRDefault="007E01CF" w:rsidP="007E01CF">
            <w:pPr>
              <w:spacing w:line="280" w:lineRule="exact"/>
              <w:rPr>
                <w:rFonts w:ascii="Calibri" w:hAnsi="Calibri"/>
                <w:b/>
                <w:bCs/>
                <w:color w:val="00B050"/>
                <w:spacing w:val="-2"/>
              </w:rPr>
            </w:pPr>
            <w:r w:rsidRPr="007E01CF">
              <w:rPr>
                <w:b/>
                <w:bCs/>
                <w:spacing w:val="-2"/>
              </w:rPr>
              <w:t>§ 1 (Przedmiot um</w:t>
            </w:r>
            <w:r w:rsidRPr="007E01CF">
              <w:rPr>
                <w:b/>
                <w:bCs/>
                <w:spacing w:val="-2"/>
              </w:rPr>
              <w:t>o</w:t>
            </w:r>
            <w:r w:rsidRPr="007E01CF">
              <w:rPr>
                <w:b/>
                <w:bCs/>
                <w:spacing w:val="-2"/>
              </w:rPr>
              <w:t>wy)</w:t>
            </w:r>
          </w:p>
        </w:tc>
        <w:tc>
          <w:tcPr>
            <w:tcW w:w="8160" w:type="dxa"/>
            <w:gridSpan w:val="2"/>
          </w:tcPr>
          <w:p w14:paraId="0A290E13" w14:textId="77777777" w:rsidR="00A515D7" w:rsidRDefault="007E01CF" w:rsidP="00257D3A">
            <w:pPr>
              <w:pStyle w:val="Akapitzlist"/>
              <w:numPr>
                <w:ilvl w:val="0"/>
                <w:numId w:val="4"/>
              </w:numPr>
              <w:ind w:left="221" w:hanging="221"/>
              <w:contextualSpacing w:val="0"/>
              <w:jc w:val="both"/>
              <w:rPr>
                <w:color w:val="000000" w:themeColor="text1"/>
              </w:rPr>
            </w:pPr>
            <w:r w:rsidRPr="007E01CF">
              <w:rPr>
                <w:color w:val="000000" w:themeColor="text1"/>
              </w:rPr>
              <w:t xml:space="preserve">Wynajmujący oświadcza, że jest właścicielem lokalu mieszkalnego położonego na </w:t>
            </w:r>
            <w:r w:rsidRPr="007E01CF">
              <w:rPr>
                <w:smallCaps/>
                <w:color w:val="000000" w:themeColor="text1"/>
              </w:rPr>
              <w:t>[numer]</w:t>
            </w:r>
            <w:r w:rsidRPr="007E01CF">
              <w:rPr>
                <w:color w:val="000000" w:themeColor="text1"/>
              </w:rPr>
              <w:t xml:space="preserve"> piętrze/parterze budynku znajdującego się przy ul. </w:t>
            </w:r>
            <w:r w:rsidRPr="007E01CF">
              <w:rPr>
                <w:smallCaps/>
                <w:color w:val="000000" w:themeColor="text1"/>
              </w:rPr>
              <w:t xml:space="preserve">[dokładny adres wraz </w:t>
            </w:r>
            <w:r w:rsidRPr="007E01CF">
              <w:rPr>
                <w:smallCaps/>
                <w:color w:val="000000" w:themeColor="text1"/>
              </w:rPr>
              <w:br/>
              <w:t xml:space="preserve">z numerem lokalu] </w:t>
            </w:r>
            <w:r w:rsidRPr="007E01CF">
              <w:rPr>
                <w:color w:val="000000" w:themeColor="text1"/>
              </w:rPr>
              <w:t>składającego się z [</w:t>
            </w:r>
            <w:r w:rsidRPr="007E01CF">
              <w:rPr>
                <w:smallCaps/>
                <w:color w:val="000000" w:themeColor="text1"/>
              </w:rPr>
              <w:t>wymienić pomieszczenia</w:t>
            </w:r>
            <w:r w:rsidRPr="007E01CF">
              <w:rPr>
                <w:color w:val="000000" w:themeColor="text1"/>
              </w:rPr>
              <w:t xml:space="preserve">] o łącznej powierzchni </w:t>
            </w:r>
            <w:r w:rsidRPr="007E01CF">
              <w:rPr>
                <w:smallCaps/>
                <w:color w:val="000000" w:themeColor="text1"/>
              </w:rPr>
              <w:t>[powierzchnia</w:t>
            </w:r>
            <w:r w:rsidRPr="007E01CF">
              <w:rPr>
                <w:color w:val="000000" w:themeColor="text1"/>
              </w:rPr>
              <w:t xml:space="preserve">], dla którego prowadzona jest księga wieczysta </w:t>
            </w:r>
            <w:r w:rsidRPr="007E01CF">
              <w:rPr>
                <w:smallCaps/>
                <w:color w:val="000000" w:themeColor="text1"/>
              </w:rPr>
              <w:t>[numer księgi wiecz</w:t>
            </w:r>
            <w:r w:rsidRPr="007E01CF">
              <w:rPr>
                <w:smallCaps/>
                <w:color w:val="000000" w:themeColor="text1"/>
              </w:rPr>
              <w:t>y</w:t>
            </w:r>
            <w:r w:rsidRPr="007E01CF">
              <w:rPr>
                <w:smallCaps/>
                <w:color w:val="000000" w:themeColor="text1"/>
              </w:rPr>
              <w:t xml:space="preserve">stej </w:t>
            </w:r>
            <w:r w:rsidRPr="007E01CF">
              <w:rPr>
                <w:smallCaps/>
                <w:color w:val="000000" w:themeColor="text1"/>
              </w:rPr>
              <w:br/>
              <w:t>i sąd, który ją prowadzi]</w:t>
            </w:r>
            <w:r>
              <w:rPr>
                <w:color w:val="000000" w:themeColor="text1"/>
              </w:rPr>
              <w:t xml:space="preserve"> (dalej: Lokal)</w:t>
            </w:r>
          </w:p>
          <w:p w14:paraId="5D4E1C17" w14:textId="77777777" w:rsidR="00A515D7" w:rsidRPr="00A515D7" w:rsidRDefault="007E01CF" w:rsidP="00257D3A">
            <w:pPr>
              <w:pStyle w:val="Akapitzlist"/>
              <w:numPr>
                <w:ilvl w:val="0"/>
                <w:numId w:val="4"/>
              </w:numPr>
              <w:ind w:left="221" w:hanging="221"/>
              <w:contextualSpacing w:val="0"/>
              <w:jc w:val="both"/>
              <w:rPr>
                <w:color w:val="000000" w:themeColor="text1"/>
              </w:rPr>
            </w:pPr>
            <w:r w:rsidRPr="007E01CF">
              <w:t>Wynajmujący wynajmuje Najemcy Lokal w całości wraz ze znajdującymi się w nim umeblowaniem oraz urządzeniami gospodarstwa domowego. Wykaz umeblowania oraz urządzeń znajdujących się w Lokalu stanowi element Protokołu odbioru Lokalu (Załącznik 1 do Umowy).</w:t>
            </w:r>
          </w:p>
          <w:p w14:paraId="23390FE3" w14:textId="77777777" w:rsidR="00970055" w:rsidRPr="00970055" w:rsidRDefault="00A515D7" w:rsidP="00257D3A">
            <w:pPr>
              <w:pStyle w:val="Akapitzlist"/>
              <w:numPr>
                <w:ilvl w:val="0"/>
                <w:numId w:val="4"/>
              </w:numPr>
              <w:ind w:left="221" w:hanging="221"/>
              <w:contextualSpacing w:val="0"/>
              <w:jc w:val="both"/>
              <w:rPr>
                <w:color w:val="000000" w:themeColor="text1"/>
              </w:rPr>
            </w:pPr>
            <w:r w:rsidRPr="00A515D7">
              <w:t>Strony podpisują Protokół odbioru Lokalu w dniu wydania Lokalu Najemcy. Podpisując Protokół odbioru Lokalu Najemca stwierdza, że nie wnosi zastrz</w:t>
            </w:r>
            <w:r w:rsidRPr="00A515D7">
              <w:t>e</w:t>
            </w:r>
            <w:r w:rsidRPr="00A515D7">
              <w:t>żeń do Lokalu.</w:t>
            </w:r>
          </w:p>
          <w:p w14:paraId="307C9060" w14:textId="0ADC4E77" w:rsidR="00970055" w:rsidRPr="00970055" w:rsidRDefault="00970055" w:rsidP="00970055">
            <w:pPr>
              <w:pStyle w:val="Akapitzlist"/>
              <w:ind w:left="221"/>
              <w:contextualSpacing w:val="0"/>
              <w:jc w:val="both"/>
              <w:rPr>
                <w:color w:val="000000" w:themeColor="text1"/>
              </w:rPr>
            </w:pPr>
          </w:p>
        </w:tc>
      </w:tr>
      <w:tr w:rsidR="00114341" w14:paraId="723941EA" w14:textId="77777777" w:rsidTr="001730A8">
        <w:tc>
          <w:tcPr>
            <w:tcW w:w="2330" w:type="dxa"/>
          </w:tcPr>
          <w:p w14:paraId="5B1B84C3" w14:textId="53AF0C93" w:rsidR="00114341" w:rsidRDefault="00970055" w:rsidP="00A515D7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  <w:r>
              <w:rPr>
                <w:b/>
                <w:bCs/>
                <w:spacing w:val="-2"/>
              </w:rPr>
              <w:t>§ 2</w:t>
            </w:r>
            <w:r w:rsidR="00A515D7" w:rsidRPr="007E01CF">
              <w:rPr>
                <w:b/>
                <w:bCs/>
                <w:spacing w:val="-2"/>
              </w:rPr>
              <w:t xml:space="preserve"> (</w:t>
            </w:r>
            <w:r w:rsidR="00A515D7">
              <w:rPr>
                <w:b/>
                <w:bCs/>
                <w:spacing w:val="-2"/>
              </w:rPr>
              <w:t>Czynsz najmu</w:t>
            </w:r>
            <w:r w:rsidR="00A515D7" w:rsidRPr="007E01CF">
              <w:rPr>
                <w:b/>
                <w:bCs/>
                <w:spacing w:val="-2"/>
              </w:rPr>
              <w:t>)</w:t>
            </w:r>
          </w:p>
        </w:tc>
        <w:tc>
          <w:tcPr>
            <w:tcW w:w="8160" w:type="dxa"/>
            <w:gridSpan w:val="2"/>
          </w:tcPr>
          <w:p w14:paraId="4638C3CF" w14:textId="77777777" w:rsidR="00970055" w:rsidRPr="00970055" w:rsidRDefault="00A515D7" w:rsidP="00970055">
            <w:pPr>
              <w:pStyle w:val="Akapitzlist"/>
              <w:numPr>
                <w:ilvl w:val="0"/>
                <w:numId w:val="7"/>
              </w:numPr>
              <w:ind w:left="222" w:hanging="215"/>
              <w:jc w:val="both"/>
              <w:rPr>
                <w:color w:val="000000" w:themeColor="text1"/>
              </w:rPr>
            </w:pPr>
            <w:r w:rsidRPr="00970055">
              <w:rPr>
                <w:color w:val="000000" w:themeColor="text1"/>
              </w:rPr>
              <w:t xml:space="preserve">Strony ustalają czynsz najmu w wysokości </w:t>
            </w:r>
            <w:r w:rsidRPr="00970055">
              <w:rPr>
                <w:smallCaps/>
                <w:color w:val="000000" w:themeColor="text1"/>
              </w:rPr>
              <w:t>[kwota]</w:t>
            </w:r>
            <w:r w:rsidRPr="00970055">
              <w:rPr>
                <w:color w:val="000000" w:themeColor="text1"/>
              </w:rPr>
              <w:t xml:space="preserve"> zł (słownie: </w:t>
            </w:r>
            <w:r w:rsidRPr="00970055">
              <w:rPr>
                <w:smallCaps/>
                <w:color w:val="000000" w:themeColor="text1"/>
              </w:rPr>
              <w:t>[kwota słownie]</w:t>
            </w:r>
            <w:r w:rsidRPr="00970055">
              <w:rPr>
                <w:color w:val="000000" w:themeColor="text1"/>
              </w:rPr>
              <w:t xml:space="preserve"> zł) miesięcznie.</w:t>
            </w:r>
          </w:p>
          <w:p w14:paraId="0993B844" w14:textId="0ABCBFC8" w:rsidR="00970055" w:rsidRPr="00970055" w:rsidRDefault="00970055" w:rsidP="00970055">
            <w:pPr>
              <w:pStyle w:val="Akapitzlist"/>
              <w:numPr>
                <w:ilvl w:val="0"/>
                <w:numId w:val="7"/>
              </w:numPr>
              <w:ind w:left="222" w:hanging="215"/>
              <w:jc w:val="both"/>
              <w:rPr>
                <w:color w:val="000000" w:themeColor="text1"/>
              </w:rPr>
            </w:pPr>
            <w:r w:rsidRPr="00970055">
              <w:rPr>
                <w:color w:val="000000" w:themeColor="text1"/>
              </w:rPr>
              <w:t xml:space="preserve">Czynsz jest płatny z góry do </w:t>
            </w:r>
            <w:r w:rsidRPr="00970055">
              <w:rPr>
                <w:smallCaps/>
                <w:color w:val="000000" w:themeColor="text1"/>
              </w:rPr>
              <w:t xml:space="preserve">[liczba] </w:t>
            </w:r>
            <w:r w:rsidRPr="00970055">
              <w:rPr>
                <w:color w:val="000000" w:themeColor="text1"/>
              </w:rPr>
              <w:t xml:space="preserve">dnia każdego miesiąca obowiązywania umowy przelewem na rachunek bankowy Wynajmującego </w:t>
            </w:r>
            <w:r w:rsidRPr="00970055">
              <w:rPr>
                <w:smallCaps/>
                <w:color w:val="000000" w:themeColor="text1"/>
              </w:rPr>
              <w:t>[numer rachunku bankowego W</w:t>
            </w:r>
            <w:r w:rsidRPr="00970055">
              <w:rPr>
                <w:smallCaps/>
                <w:color w:val="000000" w:themeColor="text1"/>
              </w:rPr>
              <w:t>y</w:t>
            </w:r>
            <w:r w:rsidRPr="00970055">
              <w:rPr>
                <w:smallCaps/>
                <w:color w:val="000000" w:themeColor="text1"/>
              </w:rPr>
              <w:t>najm</w:t>
            </w:r>
            <w:r w:rsidRPr="00970055">
              <w:rPr>
                <w:smallCaps/>
                <w:color w:val="000000" w:themeColor="text1"/>
              </w:rPr>
              <w:t>u</w:t>
            </w:r>
            <w:r w:rsidRPr="00970055">
              <w:rPr>
                <w:smallCaps/>
                <w:color w:val="000000" w:themeColor="text1"/>
              </w:rPr>
              <w:t>jącego].</w:t>
            </w:r>
          </w:p>
          <w:p w14:paraId="60853B1A" w14:textId="56BF031B" w:rsidR="00970055" w:rsidRPr="00970055" w:rsidRDefault="00970055" w:rsidP="00970055">
            <w:pPr>
              <w:pStyle w:val="Akapitzlist"/>
              <w:ind w:left="222"/>
              <w:jc w:val="both"/>
              <w:rPr>
                <w:color w:val="000000" w:themeColor="text1"/>
              </w:rPr>
            </w:pPr>
          </w:p>
        </w:tc>
      </w:tr>
      <w:tr w:rsidR="00114341" w14:paraId="3DADF48B" w14:textId="77777777" w:rsidTr="001730A8">
        <w:tc>
          <w:tcPr>
            <w:tcW w:w="2330" w:type="dxa"/>
          </w:tcPr>
          <w:p w14:paraId="3FDBEC67" w14:textId="7E10BD74" w:rsidR="00114341" w:rsidRPr="00313ACF" w:rsidRDefault="0013658F" w:rsidP="0013658F">
            <w:pPr>
              <w:spacing w:line="28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b/>
                <w:bCs/>
                <w:spacing w:val="-2"/>
              </w:rPr>
              <w:t>§ 3</w:t>
            </w:r>
            <w:r w:rsidRPr="007E01CF">
              <w:rPr>
                <w:b/>
                <w:bCs/>
                <w:spacing w:val="-2"/>
              </w:rPr>
              <w:t xml:space="preserve"> (</w:t>
            </w:r>
            <w:r>
              <w:rPr>
                <w:b/>
                <w:bCs/>
                <w:spacing w:val="-2"/>
              </w:rPr>
              <w:t>Obowiązki Stron</w:t>
            </w:r>
            <w:r w:rsidRPr="007E01CF">
              <w:rPr>
                <w:b/>
                <w:bCs/>
                <w:spacing w:val="-2"/>
              </w:rPr>
              <w:t>)</w:t>
            </w:r>
          </w:p>
        </w:tc>
        <w:tc>
          <w:tcPr>
            <w:tcW w:w="8160" w:type="dxa"/>
            <w:gridSpan w:val="2"/>
          </w:tcPr>
          <w:p w14:paraId="77B4C7C2" w14:textId="77777777" w:rsidR="0013658F" w:rsidRPr="0013658F" w:rsidRDefault="0013658F" w:rsidP="00DA2A41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</w:pPr>
            <w:r w:rsidRPr="0013658F">
              <w:t>Wynajmujący jest zobowiązany do:</w:t>
            </w:r>
          </w:p>
          <w:p w14:paraId="002D8EBF" w14:textId="547BBDDB" w:rsidR="0013658F" w:rsidRDefault="0013658F" w:rsidP="00D00670">
            <w:pPr>
              <w:pStyle w:val="Akapitzlist"/>
              <w:numPr>
                <w:ilvl w:val="1"/>
                <w:numId w:val="10"/>
              </w:numPr>
              <w:ind w:left="505" w:hanging="284"/>
              <w:jc w:val="both"/>
            </w:pPr>
            <w:r w:rsidRPr="0013658F">
              <w:t>zapewnienia sprawnego działania istniejących instalacji i urządzeń zwią</w:t>
            </w:r>
            <w:r w:rsidR="00D00670">
              <w:t xml:space="preserve">zanych </w:t>
            </w:r>
            <w:r w:rsidRPr="0013658F">
              <w:t xml:space="preserve">z </w:t>
            </w:r>
            <w:proofErr w:type="spellStart"/>
            <w:r w:rsidRPr="0013658F">
              <w:t>bu</w:t>
            </w:r>
            <w:r w:rsidR="00D00670">
              <w:t>-</w:t>
            </w:r>
            <w:r w:rsidRPr="0013658F">
              <w:t>dynkiem</w:t>
            </w:r>
            <w:proofErr w:type="spellEnd"/>
            <w:r w:rsidRPr="0013658F">
              <w:t xml:space="preserve"> umożliwiających najemcy korzystanie z wody, paliw gazo</w:t>
            </w:r>
            <w:r w:rsidR="00D00670">
              <w:t xml:space="preserve">wych </w:t>
            </w:r>
            <w:r w:rsidRPr="0013658F">
              <w:t>i ciekłych, ciepła, energii elektrycznej, dźwigów osobowych oraz innych instalacji i urządzeń stanowiących wyposażenie lokalu i budynku,</w:t>
            </w:r>
          </w:p>
          <w:p w14:paraId="58223812" w14:textId="50A9B0A0" w:rsidR="0013658F" w:rsidRDefault="0013658F" w:rsidP="00D00670">
            <w:pPr>
              <w:pStyle w:val="Akapitzlist"/>
              <w:numPr>
                <w:ilvl w:val="1"/>
                <w:numId w:val="10"/>
              </w:numPr>
              <w:ind w:left="505" w:hanging="283"/>
              <w:jc w:val="both"/>
            </w:pPr>
            <w:r w:rsidRPr="0013658F">
              <w:t xml:space="preserve">dokonania wymiany zużytych elementów wyposażenia lokalu, w razie oddania </w:t>
            </w:r>
            <w:r>
              <w:br/>
            </w:r>
            <w:r w:rsidRPr="0013658F">
              <w:t>w najem lokalu opróżnionego przez dotychczasow</w:t>
            </w:r>
            <w:r w:rsidRPr="0013658F">
              <w:t>e</w:t>
            </w:r>
            <w:r w:rsidRPr="0013658F">
              <w:t>go najemcę,</w:t>
            </w:r>
          </w:p>
          <w:p w14:paraId="7F38B547" w14:textId="77777777" w:rsidR="00EA3E24" w:rsidRPr="00257D3A" w:rsidRDefault="0013658F" w:rsidP="00D00670">
            <w:pPr>
              <w:pStyle w:val="Akapitzlist"/>
              <w:numPr>
                <w:ilvl w:val="1"/>
                <w:numId w:val="10"/>
              </w:numPr>
              <w:ind w:left="505" w:hanging="283"/>
              <w:jc w:val="both"/>
              <w:rPr>
                <w:spacing w:val="-2"/>
              </w:rPr>
            </w:pPr>
            <w:r w:rsidRPr="00257D3A">
              <w:rPr>
                <w:spacing w:val="-2"/>
              </w:rPr>
              <w:t>dokonywania napraw budynku i lokalu w zakresie wynikającym z przepisów pr</w:t>
            </w:r>
            <w:r w:rsidRPr="00257D3A">
              <w:rPr>
                <w:spacing w:val="-2"/>
              </w:rPr>
              <w:t>a</w:t>
            </w:r>
            <w:r w:rsidRPr="00257D3A">
              <w:rPr>
                <w:spacing w:val="-2"/>
              </w:rPr>
              <w:t>wa.</w:t>
            </w:r>
            <w:r w:rsidRPr="00257D3A">
              <w:rPr>
                <w:spacing w:val="-2"/>
                <w:vertAlign w:val="superscript"/>
              </w:rPr>
              <w:t>1</w:t>
            </w:r>
          </w:p>
          <w:p w14:paraId="4EE7C688" w14:textId="33D2C616" w:rsidR="00EA3E24" w:rsidRPr="00EA3E24" w:rsidRDefault="00EA3E24" w:rsidP="00DA2A41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</w:pPr>
            <w:r w:rsidRPr="00EA3E24">
              <w:t>Najemca jest zobowiązany do:</w:t>
            </w:r>
          </w:p>
          <w:p w14:paraId="2CB81CA9" w14:textId="77777777" w:rsidR="00EA3E24" w:rsidRPr="00EA3E24" w:rsidRDefault="00EA3E24" w:rsidP="00D00670">
            <w:pPr>
              <w:pStyle w:val="Akapitzlist"/>
              <w:numPr>
                <w:ilvl w:val="1"/>
                <w:numId w:val="10"/>
              </w:numPr>
              <w:ind w:left="505" w:hanging="283"/>
              <w:jc w:val="both"/>
            </w:pPr>
            <w:r w:rsidRPr="00EA3E24">
              <w:t>ponoszenia kosztów związanych z utrzymaniem Lokalu (opłaty administracyjne, opłaty związane z tzw. mediami [uzupełnić]) przez czas trw</w:t>
            </w:r>
            <w:r w:rsidRPr="00EA3E24">
              <w:t>a</w:t>
            </w:r>
            <w:r w:rsidRPr="00EA3E24">
              <w:t>nia umowy,</w:t>
            </w:r>
          </w:p>
          <w:p w14:paraId="2E303D49" w14:textId="69F39F44" w:rsidR="00EA3E24" w:rsidRPr="00EA3E24" w:rsidRDefault="00EA3E24" w:rsidP="00D00670">
            <w:pPr>
              <w:pStyle w:val="Akapitzlist"/>
              <w:numPr>
                <w:ilvl w:val="1"/>
                <w:numId w:val="10"/>
              </w:numPr>
              <w:ind w:left="505" w:hanging="283"/>
              <w:jc w:val="both"/>
            </w:pPr>
            <w:r w:rsidRPr="00EA3E24">
              <w:t xml:space="preserve">utrzymywania Lokal we właściwym stanie technicznym i sanitarno-higienicznym, </w:t>
            </w:r>
            <w:r w:rsidR="00257D3A">
              <w:br/>
            </w:r>
            <w:r w:rsidRPr="00EA3E24">
              <w:t xml:space="preserve">w tym do dokonywania napraw i konserwacji Lokalu w zakresie wynikającym </w:t>
            </w:r>
            <w:r w:rsidR="00257D3A">
              <w:br/>
            </w:r>
            <w:r w:rsidRPr="00EA3E24">
              <w:t>z przepisów prawa,</w:t>
            </w:r>
            <w:r w:rsidRPr="00EA3E24">
              <w:rPr>
                <w:vertAlign w:val="superscript"/>
              </w:rPr>
              <w:t>2</w:t>
            </w:r>
          </w:p>
          <w:p w14:paraId="0BABF4B6" w14:textId="77777777" w:rsidR="00EA3E24" w:rsidRDefault="00EA3E24" w:rsidP="00D00670">
            <w:pPr>
              <w:pStyle w:val="Akapitzlist"/>
              <w:numPr>
                <w:ilvl w:val="1"/>
                <w:numId w:val="10"/>
              </w:numPr>
              <w:ind w:left="505" w:hanging="283"/>
              <w:jc w:val="both"/>
            </w:pPr>
            <w:r w:rsidRPr="00EA3E24">
              <w:t>Niezwłocznie zawiadomić Wynajmującego o konieczności wykonania napraw o</w:t>
            </w:r>
            <w:r w:rsidRPr="00EA3E24">
              <w:t>b</w:t>
            </w:r>
            <w:r w:rsidRPr="00EA3E24">
              <w:t>ciążających Wynajmującego.</w:t>
            </w:r>
          </w:p>
          <w:p w14:paraId="1CD3AA2F" w14:textId="77777777" w:rsidR="00DA2A41" w:rsidRPr="00E528F1" w:rsidRDefault="00DA2A41" w:rsidP="00DA2A41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</w:pPr>
            <w:r w:rsidRPr="00E528F1">
              <w:t>Najemca nie może oddać Lokalu w podnajem, do bezpłatnego używania ani w jak</w:t>
            </w:r>
            <w:r w:rsidRPr="00E528F1">
              <w:t>i</w:t>
            </w:r>
            <w:r w:rsidRPr="00E528F1">
              <w:t>kolwiek sposób umożliwiać korzystania z Lokalu osobom trzecim bez uprzedniej p</w:t>
            </w:r>
            <w:r w:rsidRPr="00E528F1">
              <w:t>i</w:t>
            </w:r>
            <w:r w:rsidRPr="00E528F1">
              <w:t>semnej zgody Wynajmującego.</w:t>
            </w:r>
          </w:p>
          <w:p w14:paraId="7F349C32" w14:textId="77777777" w:rsidR="00DA2A41" w:rsidRPr="00E528F1" w:rsidRDefault="00DA2A41" w:rsidP="00DA2A41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</w:pPr>
            <w:r w:rsidRPr="00E528F1">
              <w:t>Najemca może wprowadzić w lokalu ulepszenia tylko za zgodą wynajmującego i na podstawie pisemnej umowy określającej sposób rozliczeń z tego tytułu.</w:t>
            </w:r>
          </w:p>
          <w:p w14:paraId="4D8FE9F9" w14:textId="77777777" w:rsidR="00DA2A41" w:rsidRPr="00EA3E24" w:rsidRDefault="00DA2A41" w:rsidP="00DA2A41">
            <w:pPr>
              <w:jc w:val="both"/>
            </w:pPr>
          </w:p>
          <w:p w14:paraId="73090FBF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6BDEF00D" w14:textId="77777777" w:rsidTr="001730A8">
        <w:tc>
          <w:tcPr>
            <w:tcW w:w="2330" w:type="dxa"/>
          </w:tcPr>
          <w:p w14:paraId="2191C306" w14:textId="3B87D519" w:rsidR="00114341" w:rsidRPr="00313ACF" w:rsidRDefault="000A45DE" w:rsidP="00257D3A">
            <w:pPr>
              <w:spacing w:line="280" w:lineRule="exac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b/>
                <w:bCs/>
                <w:spacing w:val="-2"/>
              </w:rPr>
              <w:lastRenderedPageBreak/>
              <w:t>§ 4</w:t>
            </w:r>
            <w:r w:rsidR="00257D3A" w:rsidRPr="007E01CF">
              <w:rPr>
                <w:b/>
                <w:bCs/>
                <w:spacing w:val="-2"/>
              </w:rPr>
              <w:t xml:space="preserve"> (</w:t>
            </w:r>
            <w:r w:rsidR="00257D3A">
              <w:rPr>
                <w:b/>
                <w:bCs/>
                <w:spacing w:val="-2"/>
              </w:rPr>
              <w:t>Obowiązywanie umowy</w:t>
            </w:r>
            <w:r w:rsidR="00257D3A" w:rsidRPr="007E01CF">
              <w:rPr>
                <w:b/>
                <w:bCs/>
                <w:spacing w:val="-2"/>
              </w:rPr>
              <w:t>)</w:t>
            </w:r>
          </w:p>
        </w:tc>
        <w:tc>
          <w:tcPr>
            <w:tcW w:w="8160" w:type="dxa"/>
            <w:gridSpan w:val="2"/>
          </w:tcPr>
          <w:p w14:paraId="0C157F6D" w14:textId="77777777" w:rsidR="00257D3A" w:rsidRPr="00257D3A" w:rsidRDefault="00257D3A" w:rsidP="00257D3A">
            <w:pPr>
              <w:jc w:val="both"/>
              <w:rPr>
                <w:color w:val="000000" w:themeColor="text1"/>
                <w:vertAlign w:val="superscript"/>
              </w:rPr>
            </w:pPr>
            <w:r w:rsidRPr="00257D3A">
              <w:rPr>
                <w:color w:val="000000" w:themeColor="text1"/>
              </w:rPr>
              <w:t>Umowa została zawarta na czas oznaczony</w:t>
            </w:r>
            <w:r w:rsidRPr="00257D3A">
              <w:rPr>
                <w:smallCaps/>
                <w:color w:val="000000" w:themeColor="text1"/>
              </w:rPr>
              <w:t xml:space="preserve"> [uzupełnić okres czasu albo wpisać datę, do której umowa obowiązuje] </w:t>
            </w:r>
            <w:r w:rsidRPr="00257D3A">
              <w:rPr>
                <w:color w:val="000000" w:themeColor="text1"/>
              </w:rPr>
              <w:t>/ na czas nie oznaczony.</w:t>
            </w:r>
            <w:r w:rsidRPr="00257D3A">
              <w:rPr>
                <w:color w:val="000000" w:themeColor="text1"/>
                <w:vertAlign w:val="superscript"/>
              </w:rPr>
              <w:t>3</w:t>
            </w:r>
          </w:p>
          <w:p w14:paraId="6FF38269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52B34D07" w14:textId="77777777" w:rsidTr="001730A8">
        <w:trPr>
          <w:trHeight w:val="567"/>
        </w:trPr>
        <w:tc>
          <w:tcPr>
            <w:tcW w:w="2330" w:type="dxa"/>
          </w:tcPr>
          <w:p w14:paraId="3AF0736A" w14:textId="09B8689B" w:rsidR="00114341" w:rsidRPr="00313ACF" w:rsidRDefault="000A45DE" w:rsidP="000A45DE">
            <w:pPr>
              <w:spacing w:line="280" w:lineRule="exac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b/>
                <w:bCs/>
                <w:spacing w:val="-2"/>
              </w:rPr>
              <w:t>§ 5</w:t>
            </w:r>
            <w:r w:rsidRPr="007E01CF">
              <w:rPr>
                <w:b/>
                <w:bCs/>
                <w:spacing w:val="-2"/>
              </w:rPr>
              <w:t xml:space="preserve"> (</w:t>
            </w:r>
            <w:r>
              <w:rPr>
                <w:b/>
                <w:bCs/>
                <w:spacing w:val="-2"/>
              </w:rPr>
              <w:t>Wypowiedzenie umowy</w:t>
            </w:r>
            <w:r w:rsidRPr="007E01CF">
              <w:rPr>
                <w:b/>
                <w:bCs/>
                <w:spacing w:val="-2"/>
              </w:rPr>
              <w:t>)</w:t>
            </w:r>
            <w:r w:rsidR="00E01A97" w:rsidRPr="00E528F1">
              <w:rPr>
                <w:color w:val="FF0000"/>
              </w:rPr>
              <w:t xml:space="preserve"> </w:t>
            </w:r>
            <w:r w:rsidR="00E01A97" w:rsidRPr="00E01A97">
              <w:rPr>
                <w:smallCaps/>
                <w:color w:val="000000" w:themeColor="text1"/>
              </w:rPr>
              <w:t>[wariant dla umowy zawartej na czas oznaczony]</w:t>
            </w:r>
          </w:p>
        </w:tc>
        <w:tc>
          <w:tcPr>
            <w:tcW w:w="8160" w:type="dxa"/>
            <w:gridSpan w:val="2"/>
          </w:tcPr>
          <w:p w14:paraId="5EE9674B" w14:textId="77777777" w:rsidR="00E01A97" w:rsidRPr="00E528F1" w:rsidRDefault="00E01A97" w:rsidP="00E01A97">
            <w:pPr>
              <w:pStyle w:val="Akapitzlist"/>
              <w:numPr>
                <w:ilvl w:val="0"/>
                <w:numId w:val="12"/>
              </w:numPr>
              <w:ind w:left="222" w:hanging="222"/>
              <w:jc w:val="both"/>
            </w:pPr>
            <w:r w:rsidRPr="00E528F1">
              <w:t xml:space="preserve">Najemca może wypowiedzieć umowę z terminem </w:t>
            </w:r>
            <w:r w:rsidRPr="00E01A97">
              <w:rPr>
                <w:smallCaps/>
                <w:color w:val="000000" w:themeColor="text1"/>
              </w:rPr>
              <w:t>[wpisać termin]</w:t>
            </w:r>
            <w:r w:rsidRPr="00E528F1">
              <w:t xml:space="preserve"> ze skutkiem na k</w:t>
            </w:r>
            <w:r w:rsidRPr="00E528F1">
              <w:t>o</w:t>
            </w:r>
            <w:r w:rsidRPr="00E528F1">
              <w:t>niec miesiąca kalendarzowego w następujących przypadkach:</w:t>
            </w:r>
            <w:r w:rsidRPr="00E528F1">
              <w:rPr>
                <w:vertAlign w:val="superscript"/>
              </w:rPr>
              <w:t>4</w:t>
            </w:r>
          </w:p>
          <w:p w14:paraId="3B2C8289" w14:textId="77777777" w:rsidR="00E01A97" w:rsidRPr="00E01A97" w:rsidRDefault="00E01A97" w:rsidP="00E01A97">
            <w:pPr>
              <w:pStyle w:val="Akapitzlist"/>
              <w:numPr>
                <w:ilvl w:val="0"/>
                <w:numId w:val="11"/>
              </w:numPr>
              <w:ind w:left="436" w:hanging="221"/>
              <w:jc w:val="both"/>
              <w:rPr>
                <w:smallCaps/>
                <w:color w:val="000000" w:themeColor="text1"/>
              </w:rPr>
            </w:pPr>
            <w:r w:rsidRPr="00E01A97">
              <w:rPr>
                <w:smallCaps/>
                <w:color w:val="000000" w:themeColor="text1"/>
              </w:rPr>
              <w:t>[uzupełnić]</w:t>
            </w:r>
          </w:p>
          <w:p w14:paraId="359896E4" w14:textId="77777777" w:rsidR="00E01A97" w:rsidRPr="00E01A97" w:rsidRDefault="00E01A97" w:rsidP="00E01A97">
            <w:pPr>
              <w:pStyle w:val="Akapitzlist"/>
              <w:numPr>
                <w:ilvl w:val="0"/>
                <w:numId w:val="11"/>
              </w:numPr>
              <w:ind w:left="436" w:hanging="221"/>
              <w:jc w:val="both"/>
              <w:rPr>
                <w:smallCaps/>
                <w:color w:val="000000" w:themeColor="text1"/>
              </w:rPr>
            </w:pPr>
            <w:r w:rsidRPr="00E01A97">
              <w:rPr>
                <w:smallCaps/>
                <w:color w:val="000000" w:themeColor="text1"/>
              </w:rPr>
              <w:t>[uzupełnić]</w:t>
            </w:r>
          </w:p>
          <w:p w14:paraId="39E1697E" w14:textId="77777777" w:rsidR="00E01A97" w:rsidRPr="00E01A97" w:rsidRDefault="00E01A97" w:rsidP="00E01A97">
            <w:pPr>
              <w:pStyle w:val="Akapitzlist"/>
              <w:numPr>
                <w:ilvl w:val="0"/>
                <w:numId w:val="11"/>
              </w:numPr>
              <w:ind w:left="436" w:hanging="221"/>
              <w:jc w:val="both"/>
              <w:rPr>
                <w:smallCaps/>
                <w:color w:val="000000" w:themeColor="text1"/>
              </w:rPr>
            </w:pPr>
            <w:r w:rsidRPr="00E01A97">
              <w:rPr>
                <w:smallCaps/>
                <w:color w:val="000000" w:themeColor="text1"/>
              </w:rPr>
              <w:t>….</w:t>
            </w:r>
          </w:p>
          <w:p w14:paraId="1798D740" w14:textId="77777777" w:rsidR="00E01A97" w:rsidRPr="00E528F1" w:rsidRDefault="00E01A97" w:rsidP="00E01A97">
            <w:pPr>
              <w:pStyle w:val="Akapitzlist"/>
              <w:numPr>
                <w:ilvl w:val="0"/>
                <w:numId w:val="12"/>
              </w:numPr>
              <w:ind w:left="222" w:hanging="222"/>
              <w:jc w:val="both"/>
            </w:pPr>
            <w:r w:rsidRPr="00E528F1">
              <w:t>Najemca może wypowiedzieć umowę ze skutkiem natychmiastowym, jeżeli w chwili wydania Najemcy Lokal miał wady, które uniemożliwiają przewidziane w umowie używanie Lokalu, albo jeżeli wady takie powstały później, a wynajmujący mimo otrz</w:t>
            </w:r>
            <w:r w:rsidRPr="00E528F1">
              <w:t>y</w:t>
            </w:r>
            <w:r w:rsidRPr="00E528F1">
              <w:t>manego zawiadomienia nie usunął ich w czasie odpowiednim, albo j</w:t>
            </w:r>
            <w:r w:rsidRPr="00E528F1">
              <w:t>e</w:t>
            </w:r>
            <w:r w:rsidRPr="00E528F1">
              <w:t>żeli wady usunąć się nie dadzą, ponadto, Najemca może wypowiedzieć umowę ze skutkiem natychmi</w:t>
            </w:r>
            <w:r w:rsidRPr="00E528F1">
              <w:t>a</w:t>
            </w:r>
            <w:r w:rsidRPr="00E528F1">
              <w:t>stowym, jeżeli wady najętego Lokalu są tego rodzaju, że zagrażają zdrowiu Najemcy lub jego domowników.</w:t>
            </w:r>
          </w:p>
          <w:p w14:paraId="5D8668DF" w14:textId="77777777" w:rsidR="00E01A97" w:rsidRPr="00E528F1" w:rsidRDefault="00E01A97" w:rsidP="00E01A97">
            <w:pPr>
              <w:pStyle w:val="Akapitzlist"/>
              <w:numPr>
                <w:ilvl w:val="0"/>
                <w:numId w:val="12"/>
              </w:numPr>
              <w:ind w:left="222" w:hanging="222"/>
              <w:jc w:val="both"/>
            </w:pPr>
            <w:r w:rsidRPr="00E528F1">
              <w:t>Wynajmujący może wypowiedzieć umowę z terminami wypowiedzenia w przypa</w:t>
            </w:r>
            <w:r w:rsidRPr="00E528F1">
              <w:t>d</w:t>
            </w:r>
            <w:r w:rsidRPr="00E528F1">
              <w:t>kach określonych w ustawie.</w:t>
            </w:r>
            <w:r w:rsidRPr="00E528F1">
              <w:rPr>
                <w:vertAlign w:val="superscript"/>
              </w:rPr>
              <w:t>5</w:t>
            </w:r>
            <w:r w:rsidRPr="00E528F1">
              <w:t xml:space="preserve"> Oświadczenie wynajmującego powinno być złożone pod rygorem nieważności na piśmie i określać przyczynę wypowiedz</w:t>
            </w:r>
            <w:r w:rsidRPr="00E528F1">
              <w:t>e</w:t>
            </w:r>
            <w:r w:rsidRPr="00E528F1">
              <w:t>nia.</w:t>
            </w:r>
          </w:p>
          <w:p w14:paraId="35888DC3" w14:textId="77777777" w:rsidR="00114341" w:rsidRPr="00313ACF" w:rsidRDefault="00114341" w:rsidP="00114341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E01A97" w14:paraId="1E4BB725" w14:textId="77777777" w:rsidTr="001730A8">
        <w:trPr>
          <w:trHeight w:val="567"/>
        </w:trPr>
        <w:tc>
          <w:tcPr>
            <w:tcW w:w="2330" w:type="dxa"/>
          </w:tcPr>
          <w:p w14:paraId="6CB0B277" w14:textId="002F6506" w:rsidR="00E01A97" w:rsidRDefault="00FA1A29" w:rsidP="000A45DE">
            <w:pPr>
              <w:spacing w:line="28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§ 5</w:t>
            </w:r>
            <w:r w:rsidRPr="007E01CF">
              <w:rPr>
                <w:b/>
                <w:bCs/>
                <w:spacing w:val="-2"/>
              </w:rPr>
              <w:t xml:space="preserve"> (</w:t>
            </w:r>
            <w:r>
              <w:rPr>
                <w:b/>
                <w:bCs/>
                <w:spacing w:val="-2"/>
              </w:rPr>
              <w:t>Wypowiedzenie umowy</w:t>
            </w:r>
            <w:r w:rsidRPr="007E01CF">
              <w:rPr>
                <w:b/>
                <w:bCs/>
                <w:spacing w:val="-2"/>
              </w:rPr>
              <w:t>)</w:t>
            </w:r>
            <w:r w:rsidRPr="00E528F1">
              <w:rPr>
                <w:color w:val="FF0000"/>
              </w:rPr>
              <w:t xml:space="preserve"> </w:t>
            </w:r>
            <w:r w:rsidRPr="00E01A97">
              <w:rPr>
                <w:smallCaps/>
                <w:color w:val="000000" w:themeColor="text1"/>
              </w:rPr>
              <w:t xml:space="preserve">[wariant dla umowy zawartej na czas </w:t>
            </w:r>
            <w:r>
              <w:rPr>
                <w:smallCaps/>
                <w:color w:val="000000" w:themeColor="text1"/>
              </w:rPr>
              <w:t xml:space="preserve">nie </w:t>
            </w:r>
            <w:r w:rsidRPr="00E01A97">
              <w:rPr>
                <w:smallCaps/>
                <w:color w:val="000000" w:themeColor="text1"/>
              </w:rPr>
              <w:t>oznaczony]</w:t>
            </w:r>
          </w:p>
        </w:tc>
        <w:tc>
          <w:tcPr>
            <w:tcW w:w="8160" w:type="dxa"/>
            <w:gridSpan w:val="2"/>
          </w:tcPr>
          <w:p w14:paraId="20418ABB" w14:textId="77777777" w:rsidR="00FA1A29" w:rsidRPr="00E528F1" w:rsidRDefault="00FA1A29" w:rsidP="00FA1A29">
            <w:pPr>
              <w:pStyle w:val="Akapitzlist"/>
              <w:numPr>
                <w:ilvl w:val="0"/>
                <w:numId w:val="13"/>
              </w:numPr>
              <w:ind w:left="222" w:hanging="222"/>
              <w:jc w:val="both"/>
            </w:pPr>
            <w:r w:rsidRPr="00E528F1">
              <w:t>Najemca może wypowiedzieć umowę z terminem [wpisać termin] ze skutkiem na koniec miesiąca kalendarzowego.</w:t>
            </w:r>
          </w:p>
          <w:p w14:paraId="0D73ED3F" w14:textId="77777777" w:rsidR="00FA1A29" w:rsidRPr="00E528F1" w:rsidRDefault="00FA1A29" w:rsidP="00FA1A29">
            <w:pPr>
              <w:pStyle w:val="Akapitzlist"/>
              <w:numPr>
                <w:ilvl w:val="0"/>
                <w:numId w:val="13"/>
              </w:numPr>
              <w:ind w:left="222" w:hanging="222"/>
              <w:jc w:val="both"/>
            </w:pPr>
            <w:r w:rsidRPr="00E528F1">
              <w:t>Najemca może wypowiedzieć umowę ze skutkiem natychmiastowym, jeżeli w chwili wydania Najemcy Lokal miał wady, które uniemożliwiają przewidziane w umowie używanie Lokalu, albo jeżeli wady takie powstały później, a wynajmujący mimo otrz</w:t>
            </w:r>
            <w:r w:rsidRPr="00E528F1">
              <w:t>y</w:t>
            </w:r>
            <w:r w:rsidRPr="00E528F1">
              <w:t>manego zawiadomienia nie usunął ich w czasie odpowiednim, albo jeżeli wady usunąć się nie dadzą, ponadto, Najemca może wypowiedzieć umowę ze skutkiem natychmi</w:t>
            </w:r>
            <w:r w:rsidRPr="00E528F1">
              <w:t>a</w:t>
            </w:r>
            <w:r w:rsidRPr="00E528F1">
              <w:t>stowym, jeżeli wady najętego Lokalu są tego rodzaju, że zagrażają zdrowiu Najemcy lub jego domowników.</w:t>
            </w:r>
          </w:p>
          <w:p w14:paraId="33613E0A" w14:textId="77777777" w:rsidR="00FA1A29" w:rsidRPr="00E528F1" w:rsidRDefault="00FA1A29" w:rsidP="00FA1A29">
            <w:pPr>
              <w:pStyle w:val="Akapitzlist"/>
              <w:numPr>
                <w:ilvl w:val="0"/>
                <w:numId w:val="13"/>
              </w:numPr>
              <w:ind w:left="222" w:hanging="222"/>
              <w:jc w:val="both"/>
            </w:pPr>
            <w:r w:rsidRPr="00E528F1">
              <w:t>Wynajmujący może wypowiedzieć umowę z terminami wypowiedzenia w przypa</w:t>
            </w:r>
            <w:r w:rsidRPr="00E528F1">
              <w:t>d</w:t>
            </w:r>
            <w:r w:rsidRPr="00E528F1">
              <w:t>kach określonych w ustawie. Oświadczenie wynajmującego powinno być złożone pod rygorem nieważności na piśmie i określać przyczynę wypowiedzenia.</w:t>
            </w:r>
          </w:p>
          <w:p w14:paraId="51BB6CDA" w14:textId="77777777" w:rsidR="00E01A97" w:rsidRPr="00E528F1" w:rsidRDefault="00E01A97" w:rsidP="00E01A97">
            <w:pPr>
              <w:jc w:val="both"/>
            </w:pPr>
          </w:p>
        </w:tc>
      </w:tr>
      <w:tr w:rsidR="00E01A97" w14:paraId="5035609F" w14:textId="77777777" w:rsidTr="001730A8">
        <w:trPr>
          <w:trHeight w:val="567"/>
        </w:trPr>
        <w:tc>
          <w:tcPr>
            <w:tcW w:w="2330" w:type="dxa"/>
          </w:tcPr>
          <w:p w14:paraId="0D1595FA" w14:textId="7CFA74F9" w:rsidR="00E01A97" w:rsidRDefault="0032465A" w:rsidP="0032465A">
            <w:pPr>
              <w:spacing w:line="28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§ 6</w:t>
            </w:r>
            <w:r w:rsidRPr="007E01CF">
              <w:rPr>
                <w:b/>
                <w:bCs/>
                <w:spacing w:val="-2"/>
              </w:rPr>
              <w:t xml:space="preserve"> (</w:t>
            </w:r>
            <w:r>
              <w:rPr>
                <w:b/>
                <w:bCs/>
                <w:spacing w:val="-2"/>
              </w:rPr>
              <w:t>Kaucja i zakończ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  <w:spacing w:val="-2"/>
              </w:rPr>
              <w:t>nie umowy</w:t>
            </w:r>
            <w:r w:rsidRPr="007E01CF">
              <w:rPr>
                <w:b/>
                <w:bCs/>
                <w:spacing w:val="-2"/>
              </w:rPr>
              <w:t>)</w:t>
            </w:r>
          </w:p>
        </w:tc>
        <w:tc>
          <w:tcPr>
            <w:tcW w:w="8160" w:type="dxa"/>
            <w:gridSpan w:val="2"/>
          </w:tcPr>
          <w:p w14:paraId="04FB0007" w14:textId="77777777" w:rsidR="0032465A" w:rsidRPr="00E528F1" w:rsidRDefault="0032465A" w:rsidP="0032465A">
            <w:pPr>
              <w:pStyle w:val="Akapitzlist"/>
              <w:numPr>
                <w:ilvl w:val="0"/>
                <w:numId w:val="14"/>
              </w:numPr>
              <w:ind w:left="222" w:hanging="222"/>
              <w:jc w:val="both"/>
            </w:pPr>
            <w:r w:rsidRPr="00E528F1">
              <w:t>Po zakończeniu Umowy Najemca jest zobowiązany do zwrotu Lokalu Wynajm</w:t>
            </w:r>
            <w:r w:rsidRPr="00E528F1">
              <w:t>u</w:t>
            </w:r>
            <w:r w:rsidRPr="00E528F1">
              <w:t>jącemu w stanie niepogorszonym, z zastrzeżeniem zużycia wynikającego z normalnego uż</w:t>
            </w:r>
            <w:r w:rsidRPr="00E528F1">
              <w:t>y</w:t>
            </w:r>
            <w:r w:rsidRPr="00E528F1">
              <w:t>wania.</w:t>
            </w:r>
          </w:p>
          <w:p w14:paraId="2C3CC604" w14:textId="77777777" w:rsidR="0032465A" w:rsidRPr="00E528F1" w:rsidRDefault="0032465A" w:rsidP="0032465A">
            <w:pPr>
              <w:pStyle w:val="Akapitzlist"/>
              <w:numPr>
                <w:ilvl w:val="0"/>
                <w:numId w:val="14"/>
              </w:numPr>
              <w:ind w:left="222" w:hanging="222"/>
              <w:jc w:val="both"/>
            </w:pPr>
            <w:r w:rsidRPr="00E528F1">
              <w:t>Przy zawarciu Umowy Najemca uiszcza na rzecz Wynajmującego kaucję w wys</w:t>
            </w:r>
            <w:r w:rsidRPr="00E528F1">
              <w:t>o</w:t>
            </w:r>
            <w:r w:rsidRPr="00E528F1">
              <w:t xml:space="preserve">kości </w:t>
            </w:r>
            <w:r w:rsidRPr="00E528F1">
              <w:br/>
            </w:r>
            <w:r w:rsidRPr="00063158">
              <w:rPr>
                <w:smallCaps/>
                <w:color w:val="000000" w:themeColor="text1"/>
              </w:rPr>
              <w:t>[uzupełnić]-</w:t>
            </w:r>
            <w:r w:rsidRPr="00E528F1">
              <w:t>miesięcznego</w:t>
            </w:r>
            <w:r w:rsidRPr="00E528F1">
              <w:rPr>
                <w:vertAlign w:val="superscript"/>
              </w:rPr>
              <w:t>6</w:t>
            </w:r>
            <w:r w:rsidRPr="00E528F1">
              <w:t xml:space="preserve"> czynszu najmu na zabezpieczenie należności czynszu na</w:t>
            </w:r>
            <w:r w:rsidRPr="00E528F1">
              <w:t>j</w:t>
            </w:r>
            <w:r w:rsidRPr="00E528F1">
              <w:t>mu.</w:t>
            </w:r>
          </w:p>
          <w:p w14:paraId="32854725" w14:textId="77777777" w:rsidR="0032465A" w:rsidRPr="00E528F1" w:rsidRDefault="0032465A" w:rsidP="0032465A">
            <w:pPr>
              <w:pStyle w:val="Akapitzlist"/>
              <w:numPr>
                <w:ilvl w:val="0"/>
                <w:numId w:val="14"/>
              </w:numPr>
              <w:ind w:left="222" w:hanging="222"/>
              <w:jc w:val="both"/>
            </w:pPr>
            <w:r w:rsidRPr="00E528F1">
              <w:t>Przy wydaniu Lokalu Wynajmującemu Strony podpisują Protokół zwrotu Lokalu, st</w:t>
            </w:r>
            <w:r w:rsidRPr="00E528F1">
              <w:t>a</w:t>
            </w:r>
            <w:r w:rsidRPr="00E528F1">
              <w:t>nowiący Załącznik nr 2 do niniejszej umowy. Wynajmujący niezwłocznie zwraca N</w:t>
            </w:r>
            <w:r w:rsidRPr="00E528F1">
              <w:t>a</w:t>
            </w:r>
            <w:r w:rsidRPr="00E528F1">
              <w:t>jemcy kaucję, ewentualnie pomniejszoną o kwotę zaległego czynszu najmu.</w:t>
            </w:r>
          </w:p>
          <w:p w14:paraId="102756B0" w14:textId="77777777" w:rsidR="00E01A97" w:rsidRPr="00E528F1" w:rsidRDefault="00E01A97" w:rsidP="00E01A97">
            <w:pPr>
              <w:jc w:val="both"/>
            </w:pPr>
          </w:p>
        </w:tc>
      </w:tr>
      <w:tr w:rsidR="00E01A97" w14:paraId="6FA81A03" w14:textId="77777777" w:rsidTr="001730A8">
        <w:trPr>
          <w:trHeight w:val="567"/>
        </w:trPr>
        <w:tc>
          <w:tcPr>
            <w:tcW w:w="2330" w:type="dxa"/>
          </w:tcPr>
          <w:p w14:paraId="3EB43BD5" w14:textId="03A35491" w:rsidR="00E01A97" w:rsidRDefault="00063158" w:rsidP="00063158">
            <w:pPr>
              <w:spacing w:line="28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§ 7</w:t>
            </w:r>
            <w:r w:rsidRPr="007E01CF">
              <w:rPr>
                <w:b/>
                <w:bCs/>
                <w:spacing w:val="-2"/>
              </w:rPr>
              <w:t xml:space="preserve"> (</w:t>
            </w:r>
            <w:r>
              <w:rPr>
                <w:b/>
                <w:bCs/>
                <w:spacing w:val="-2"/>
              </w:rPr>
              <w:t>Zmiany danych Stron</w:t>
            </w:r>
            <w:r w:rsidRPr="007E01CF">
              <w:rPr>
                <w:b/>
                <w:bCs/>
                <w:spacing w:val="-2"/>
              </w:rPr>
              <w:t>)</w:t>
            </w:r>
          </w:p>
        </w:tc>
        <w:tc>
          <w:tcPr>
            <w:tcW w:w="8160" w:type="dxa"/>
            <w:gridSpan w:val="2"/>
          </w:tcPr>
          <w:p w14:paraId="00E5121F" w14:textId="5AAED2F5" w:rsidR="00063158" w:rsidRPr="00E528F1" w:rsidRDefault="00063158" w:rsidP="00063158">
            <w:pPr>
              <w:jc w:val="both"/>
            </w:pPr>
            <w:r w:rsidRPr="00E528F1">
              <w:t>W okresie trwania najmu Strony są obowiązane informować się nawzajem na piśmie o każdej zmianie adresu swojego zamieszkania lub siedziby. W razie zaniedbania tego o</w:t>
            </w:r>
            <w:r w:rsidRPr="00E528F1">
              <w:t>b</w:t>
            </w:r>
            <w:r w:rsidRPr="00E528F1">
              <w:t>owiązku korespondencję wysłaną na ostatni adres listem poleconym, za potwierdz</w:t>
            </w:r>
            <w:r w:rsidRPr="00E528F1">
              <w:t>e</w:t>
            </w:r>
            <w:r w:rsidRPr="00E528F1">
              <w:t>niem odbioru i nieodebraną, uważa się za doręczoną.</w:t>
            </w:r>
          </w:p>
          <w:p w14:paraId="23683438" w14:textId="77777777" w:rsidR="00E01A97" w:rsidRPr="00E528F1" w:rsidRDefault="00E01A97" w:rsidP="00E01A97">
            <w:pPr>
              <w:jc w:val="both"/>
            </w:pPr>
          </w:p>
        </w:tc>
      </w:tr>
    </w:tbl>
    <w:p w14:paraId="3C3FDCAE" w14:textId="77777777" w:rsidR="001730A8" w:rsidRDefault="001730A8">
      <w:r>
        <w:br w:type="page"/>
      </w: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498"/>
      </w:tblGrid>
      <w:tr w:rsidR="00063158" w14:paraId="7C088F64" w14:textId="77777777" w:rsidTr="001730A8">
        <w:trPr>
          <w:trHeight w:val="567"/>
        </w:trPr>
        <w:tc>
          <w:tcPr>
            <w:tcW w:w="2330" w:type="dxa"/>
          </w:tcPr>
          <w:p w14:paraId="0EDAE518" w14:textId="5666AE77" w:rsidR="00063158" w:rsidRDefault="00063158" w:rsidP="00063158">
            <w:pPr>
              <w:spacing w:line="28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lastRenderedPageBreak/>
              <w:t>§ 8</w:t>
            </w:r>
            <w:r w:rsidRPr="007E01CF">
              <w:rPr>
                <w:b/>
                <w:bCs/>
                <w:spacing w:val="-2"/>
              </w:rPr>
              <w:t xml:space="preserve"> (</w:t>
            </w:r>
            <w:r>
              <w:rPr>
                <w:b/>
                <w:bCs/>
                <w:spacing w:val="-2"/>
              </w:rPr>
              <w:t>Postanowienia ko</w:t>
            </w:r>
            <w:r>
              <w:rPr>
                <w:b/>
                <w:bCs/>
                <w:spacing w:val="-2"/>
              </w:rPr>
              <w:t>ń</w:t>
            </w:r>
            <w:r>
              <w:rPr>
                <w:b/>
                <w:bCs/>
                <w:spacing w:val="-2"/>
              </w:rPr>
              <w:t>cowe</w:t>
            </w:r>
            <w:r w:rsidRPr="007E01CF">
              <w:rPr>
                <w:b/>
                <w:bCs/>
                <w:spacing w:val="-2"/>
              </w:rPr>
              <w:t>)</w:t>
            </w:r>
          </w:p>
        </w:tc>
        <w:tc>
          <w:tcPr>
            <w:tcW w:w="8160" w:type="dxa"/>
            <w:gridSpan w:val="3"/>
          </w:tcPr>
          <w:p w14:paraId="4AD99A67" w14:textId="77777777" w:rsidR="00063158" w:rsidRPr="00E528F1" w:rsidRDefault="00063158" w:rsidP="00063158">
            <w:pPr>
              <w:pStyle w:val="Akapitzlist"/>
              <w:numPr>
                <w:ilvl w:val="0"/>
                <w:numId w:val="15"/>
              </w:numPr>
              <w:ind w:left="222" w:hanging="222"/>
              <w:jc w:val="both"/>
            </w:pPr>
            <w:r w:rsidRPr="00E528F1">
              <w:t>Wszelkie zmiany niniejszej umowy winny być sporządzone w formie pisemnego ane</w:t>
            </w:r>
            <w:r w:rsidRPr="00E528F1">
              <w:t>k</w:t>
            </w:r>
            <w:r w:rsidRPr="00E528F1">
              <w:t>su pod rygorem nieważności.</w:t>
            </w:r>
          </w:p>
          <w:p w14:paraId="1905472C" w14:textId="7F97013F" w:rsidR="00063158" w:rsidRPr="00E528F1" w:rsidRDefault="00063158" w:rsidP="00063158">
            <w:pPr>
              <w:pStyle w:val="Akapitzlist"/>
              <w:numPr>
                <w:ilvl w:val="0"/>
                <w:numId w:val="15"/>
              </w:numPr>
              <w:ind w:left="222" w:hanging="222"/>
              <w:jc w:val="both"/>
            </w:pPr>
            <w:r w:rsidRPr="00E528F1">
              <w:t xml:space="preserve">W sprawach nie uregulowanych niniejszą umową stosuje się przepisy Ustawy z dnia 21 czerwca 2001 r. o ochronie praw lokatorów, mieszkaniowym zasobie gminy </w:t>
            </w:r>
            <w:r>
              <w:br/>
            </w:r>
            <w:r w:rsidRPr="00E528F1">
              <w:t>i o zmianie Kodeksu cywilnego (Dz. U. z 2014 r. poz. 150 tekst jednolity ze zm.) i Ust</w:t>
            </w:r>
            <w:r w:rsidRPr="00E528F1">
              <w:t>a</w:t>
            </w:r>
            <w:r w:rsidRPr="00E528F1">
              <w:t>wy z dnia 23 kwietnia 1964 r.  - Kodeks cywilny (Dz. U. z 2014 r. poz. 121 tekst jednol</w:t>
            </w:r>
            <w:r w:rsidRPr="00E528F1">
              <w:t>i</w:t>
            </w:r>
            <w:r w:rsidRPr="00E528F1">
              <w:t>ty ze zm.).</w:t>
            </w:r>
          </w:p>
          <w:p w14:paraId="7A883015" w14:textId="77777777" w:rsidR="00063158" w:rsidRPr="00E528F1" w:rsidRDefault="00063158" w:rsidP="00063158">
            <w:pPr>
              <w:pStyle w:val="Akapitzlist"/>
              <w:numPr>
                <w:ilvl w:val="0"/>
                <w:numId w:val="15"/>
              </w:numPr>
              <w:ind w:left="222" w:hanging="222"/>
              <w:jc w:val="both"/>
            </w:pPr>
            <w:r w:rsidRPr="00E528F1">
              <w:t>Umowę sporządzono w dwóch jednobrzmiących egzemplarzach, po jednym dla ka</w:t>
            </w:r>
            <w:r w:rsidRPr="00E528F1">
              <w:t>ż</w:t>
            </w:r>
            <w:r w:rsidRPr="00E528F1">
              <w:t>dej ze Stron.</w:t>
            </w:r>
          </w:p>
          <w:p w14:paraId="7E9382A9" w14:textId="77777777" w:rsidR="00063158" w:rsidRPr="00E528F1" w:rsidRDefault="00063158" w:rsidP="00E01A97">
            <w:pPr>
              <w:jc w:val="both"/>
            </w:pPr>
          </w:p>
        </w:tc>
      </w:tr>
      <w:tr w:rsidR="001730A8" w14:paraId="4E618168" w14:textId="77777777" w:rsidTr="001730A8">
        <w:trPr>
          <w:trHeight w:val="567"/>
        </w:trPr>
        <w:tc>
          <w:tcPr>
            <w:tcW w:w="2330" w:type="dxa"/>
          </w:tcPr>
          <w:p w14:paraId="7ED73950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4DEAD0B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1166" w:type="dxa"/>
          </w:tcPr>
          <w:p w14:paraId="4DA17CCD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C373E65" w14:textId="1ACB2856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  <w:tr w:rsidR="001730A8" w14:paraId="17B2634F" w14:textId="77777777" w:rsidTr="001730A8">
        <w:tc>
          <w:tcPr>
            <w:tcW w:w="2330" w:type="dxa"/>
          </w:tcPr>
          <w:p w14:paraId="2BDD6F38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69D29195" w14:textId="4BA4306F" w:rsidR="001730A8" w:rsidRPr="00114341" w:rsidRDefault="001730A8" w:rsidP="001730A8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313AC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wynajmujący</w:t>
            </w:r>
            <w:r w:rsidRPr="00313ACF">
              <w:rPr>
                <w:rFonts w:ascii="Calibri" w:hAnsi="Calibri"/>
                <w:smallCaps/>
              </w:rPr>
              <w:t>]</w:t>
            </w:r>
          </w:p>
        </w:tc>
        <w:tc>
          <w:tcPr>
            <w:tcW w:w="1166" w:type="dxa"/>
          </w:tcPr>
          <w:p w14:paraId="4E27F39E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5781554E" w14:textId="3A901A50" w:rsidR="001730A8" w:rsidRPr="00114341" w:rsidRDefault="001730A8" w:rsidP="001730A8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313AC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najemca</w:t>
            </w:r>
            <w:r w:rsidRPr="00313ACF">
              <w:rPr>
                <w:rFonts w:ascii="Calibri" w:hAnsi="Calibri"/>
                <w:smallCaps/>
              </w:rPr>
              <w:t>]</w:t>
            </w:r>
          </w:p>
        </w:tc>
      </w:tr>
      <w:tr w:rsidR="001730A8" w14:paraId="01020E46" w14:textId="77777777" w:rsidTr="001730A8">
        <w:trPr>
          <w:trHeight w:val="567"/>
        </w:trPr>
        <w:tc>
          <w:tcPr>
            <w:tcW w:w="2330" w:type="dxa"/>
          </w:tcPr>
          <w:p w14:paraId="40F13247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496" w:type="dxa"/>
          </w:tcPr>
          <w:p w14:paraId="00229534" w14:textId="77777777" w:rsidR="001730A8" w:rsidRPr="00313ACF" w:rsidRDefault="001730A8" w:rsidP="001730A8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1166" w:type="dxa"/>
          </w:tcPr>
          <w:p w14:paraId="49C2A356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4B0103F8" w14:textId="77777777" w:rsidR="001730A8" w:rsidRPr="00313ACF" w:rsidRDefault="001730A8" w:rsidP="001730A8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  <w:tr w:rsidR="001730A8" w14:paraId="6728C4B6" w14:textId="77777777" w:rsidTr="001730A8">
        <w:trPr>
          <w:trHeight w:val="567"/>
        </w:trPr>
        <w:tc>
          <w:tcPr>
            <w:tcW w:w="2330" w:type="dxa"/>
          </w:tcPr>
          <w:p w14:paraId="3CB3B38A" w14:textId="09E10AF5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>
              <w:rPr>
                <w:b/>
                <w:bCs/>
                <w:spacing w:val="-2"/>
              </w:rPr>
              <w:t>Załączniki</w:t>
            </w:r>
          </w:p>
        </w:tc>
        <w:tc>
          <w:tcPr>
            <w:tcW w:w="3496" w:type="dxa"/>
          </w:tcPr>
          <w:p w14:paraId="61015205" w14:textId="77777777" w:rsidR="001730A8" w:rsidRPr="00E528F1" w:rsidRDefault="001730A8" w:rsidP="001730A8">
            <w:pPr>
              <w:pStyle w:val="Akapitzlist"/>
              <w:numPr>
                <w:ilvl w:val="0"/>
                <w:numId w:val="16"/>
              </w:numPr>
              <w:ind w:left="222" w:hanging="222"/>
              <w:jc w:val="both"/>
            </w:pPr>
            <w:r w:rsidRPr="00E528F1">
              <w:t>Protokół odbioru Lokalu</w:t>
            </w:r>
          </w:p>
          <w:p w14:paraId="0AB47245" w14:textId="77777777" w:rsidR="001730A8" w:rsidRPr="00E528F1" w:rsidRDefault="001730A8" w:rsidP="001730A8">
            <w:pPr>
              <w:pStyle w:val="Akapitzlist"/>
              <w:numPr>
                <w:ilvl w:val="0"/>
                <w:numId w:val="16"/>
              </w:numPr>
              <w:ind w:left="222" w:hanging="222"/>
              <w:jc w:val="both"/>
            </w:pPr>
            <w:r w:rsidRPr="00E528F1">
              <w:t>Protokół zwrotu Lokalu.</w:t>
            </w:r>
          </w:p>
          <w:p w14:paraId="54FB8574" w14:textId="77777777" w:rsidR="001730A8" w:rsidRPr="00313ACF" w:rsidRDefault="001730A8" w:rsidP="001730A8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1166" w:type="dxa"/>
          </w:tcPr>
          <w:p w14:paraId="503BA88D" w14:textId="77777777" w:rsidR="001730A8" w:rsidRPr="00114341" w:rsidRDefault="001730A8" w:rsidP="0011434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1BBE1B44" w14:textId="77777777" w:rsidR="001730A8" w:rsidRPr="00313ACF" w:rsidRDefault="001730A8" w:rsidP="001730A8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</w:tbl>
    <w:p w14:paraId="3800F839" w14:textId="77777777" w:rsidR="00114341" w:rsidRDefault="00114341" w:rsidP="00F214CD">
      <w:pPr>
        <w:spacing w:line="280" w:lineRule="exact"/>
        <w:jc w:val="both"/>
        <w:rPr>
          <w:rFonts w:ascii="Calibri" w:hAnsi="Calibri"/>
          <w:color w:val="00B050"/>
        </w:rPr>
      </w:pPr>
    </w:p>
    <w:p w14:paraId="183F6180" w14:textId="77777777" w:rsidR="00114341" w:rsidRPr="00313ACF" w:rsidRDefault="00114341" w:rsidP="00F214CD">
      <w:pPr>
        <w:spacing w:line="280" w:lineRule="exact"/>
        <w:jc w:val="both"/>
        <w:rPr>
          <w:rFonts w:ascii="Calibri" w:hAnsi="Calibri"/>
          <w:color w:val="00B050"/>
        </w:rPr>
      </w:pPr>
    </w:p>
    <w:p w14:paraId="1B4883B9" w14:textId="77777777" w:rsidR="001B766B" w:rsidRPr="00313ACF" w:rsidRDefault="001B766B" w:rsidP="00F214CD">
      <w:pPr>
        <w:spacing w:line="280" w:lineRule="exact"/>
        <w:jc w:val="both"/>
        <w:rPr>
          <w:rFonts w:ascii="Calibri" w:hAnsi="Calibri"/>
        </w:rPr>
      </w:pPr>
    </w:p>
    <w:p w14:paraId="43ED843B" w14:textId="569C6099" w:rsidR="001730A8" w:rsidRDefault="001730A8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4832B0DD" w14:textId="77777777" w:rsidR="002706C8" w:rsidRDefault="002706C8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</w:tblGrid>
      <w:tr w:rsidR="00E31F6A" w14:paraId="3342AF18" w14:textId="77777777" w:rsidTr="00070CC8">
        <w:tc>
          <w:tcPr>
            <w:tcW w:w="2330" w:type="dxa"/>
            <w:gridSpan w:val="2"/>
          </w:tcPr>
          <w:p w14:paraId="3A4A0964" w14:textId="77777777" w:rsidR="00E31F6A" w:rsidRPr="00313ACF" w:rsidRDefault="00E31F6A" w:rsidP="00F45C59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313ACF">
              <w:rPr>
                <w:rFonts w:ascii="Calibri" w:hAnsi="Calibri"/>
                <w:b/>
                <w:color w:val="000000" w:themeColor="text1"/>
              </w:rPr>
              <w:t>Objaśnienia</w:t>
            </w:r>
          </w:p>
          <w:p w14:paraId="349ACB06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316B7474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025F66BA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0F4A638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499721C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DBB7CC1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4CADD71F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098AF76C" w14:textId="3C4C246D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E31F6A" w14:paraId="5ECBBBDA" w14:textId="77777777" w:rsidTr="00070CC8">
        <w:tc>
          <w:tcPr>
            <w:tcW w:w="1165" w:type="dxa"/>
          </w:tcPr>
          <w:p w14:paraId="4569147F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6B4427C6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7175EF9" w14:textId="0D5A85EA" w:rsidR="00AF529A" w:rsidRPr="00AF529A" w:rsidRDefault="00E31F6A" w:rsidP="00AF529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F529A">
              <w:rPr>
                <w:color w:val="000000" w:themeColor="text1"/>
                <w:sz w:val="18"/>
                <w:szCs w:val="18"/>
                <w:vertAlign w:val="superscript"/>
              </w:rPr>
              <w:t xml:space="preserve">1   </w:t>
            </w:r>
            <w:r w:rsidR="00AF529A" w:rsidRPr="00AF529A">
              <w:rPr>
                <w:color w:val="000000" w:themeColor="text1"/>
                <w:sz w:val="18"/>
                <w:szCs w:val="18"/>
              </w:rPr>
              <w:t>Zgodnie z Ustawą z dnia 21 czerwca 2001 r. o ochronie praw lokatorów, mieszkani</w:t>
            </w:r>
            <w:r w:rsidR="00AF529A" w:rsidRPr="00AF529A">
              <w:rPr>
                <w:color w:val="000000" w:themeColor="text1"/>
                <w:sz w:val="18"/>
                <w:szCs w:val="18"/>
              </w:rPr>
              <w:t>o</w:t>
            </w:r>
            <w:r w:rsidR="00AF529A" w:rsidRPr="00AF529A">
              <w:rPr>
                <w:color w:val="000000" w:themeColor="text1"/>
                <w:sz w:val="18"/>
                <w:szCs w:val="18"/>
              </w:rPr>
              <w:t xml:space="preserve">wym zasobie gminy </w:t>
            </w:r>
            <w:r w:rsidR="00AF529A" w:rsidRPr="00AF529A">
              <w:rPr>
                <w:color w:val="000000" w:themeColor="text1"/>
                <w:sz w:val="18"/>
                <w:szCs w:val="18"/>
              </w:rPr>
              <w:br/>
              <w:t>i o zmianie Kodeksu cywilnego (Dz. U. z 2014 r. poz. 150 tekst jedn</w:t>
            </w:r>
            <w:r w:rsidR="00AF529A" w:rsidRPr="00AF529A">
              <w:rPr>
                <w:color w:val="000000" w:themeColor="text1"/>
                <w:sz w:val="18"/>
                <w:szCs w:val="18"/>
              </w:rPr>
              <w:t>o</w:t>
            </w:r>
            <w:r w:rsidR="00AF529A" w:rsidRPr="00AF529A">
              <w:rPr>
                <w:color w:val="000000" w:themeColor="text1"/>
                <w:sz w:val="18"/>
                <w:szCs w:val="18"/>
              </w:rPr>
              <w:t>lity ze zm.) (art. 6a ust. 3):</w:t>
            </w:r>
          </w:p>
          <w:p w14:paraId="69F133BB" w14:textId="77777777" w:rsidR="00AF529A" w:rsidRPr="00AF529A" w:rsidRDefault="00AF529A" w:rsidP="00AF529A">
            <w:pPr>
              <w:ind w:left="39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F529A">
              <w:rPr>
                <w:i/>
                <w:color w:val="000000" w:themeColor="text1"/>
                <w:sz w:val="18"/>
                <w:szCs w:val="18"/>
              </w:rPr>
              <w:t>Do obowiązków wynajmującego należy w szczególności:</w:t>
            </w:r>
          </w:p>
          <w:p w14:paraId="655A79A7" w14:textId="6751D5B9" w:rsidR="00AF529A" w:rsidRPr="00AF529A" w:rsidRDefault="00AF529A" w:rsidP="00AC7F26">
            <w:pPr>
              <w:ind w:left="561" w:hanging="198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F529A">
              <w:rPr>
                <w:i/>
                <w:color w:val="000000" w:themeColor="text1"/>
                <w:sz w:val="18"/>
                <w:szCs w:val="18"/>
              </w:rPr>
              <w:t>1) utrzymanie w należytym stanie, porządku i czystości pomieszczeń i</w:t>
            </w:r>
            <w:r w:rsidR="00AC7F26">
              <w:rPr>
                <w:i/>
                <w:color w:val="000000" w:themeColor="text1"/>
                <w:sz w:val="18"/>
                <w:szCs w:val="18"/>
              </w:rPr>
              <w:t xml:space="preserve"> urządzeń budynku, służących </w:t>
            </w:r>
            <w:proofErr w:type="spellStart"/>
            <w:r w:rsidR="00AC7F26">
              <w:rPr>
                <w:i/>
                <w:color w:val="000000" w:themeColor="text1"/>
                <w:sz w:val="18"/>
                <w:szCs w:val="18"/>
              </w:rPr>
              <w:t>d</w:t>
            </w:r>
            <w:r w:rsidR="00AC7F26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wspólnego</w:t>
            </w:r>
            <w:proofErr w:type="spellEnd"/>
            <w:r w:rsidRPr="00AF529A">
              <w:rPr>
                <w:i/>
                <w:color w:val="000000" w:themeColor="text1"/>
                <w:sz w:val="18"/>
                <w:szCs w:val="18"/>
              </w:rPr>
              <w:t xml:space="preserve"> użytku mieszkańców, oraz jego otoczenia;</w:t>
            </w:r>
          </w:p>
          <w:p w14:paraId="5AF9EB03" w14:textId="77777777" w:rsidR="00AF529A" w:rsidRPr="00AF529A" w:rsidRDefault="00AF529A" w:rsidP="00AC7F26">
            <w:pPr>
              <w:ind w:left="561" w:hanging="198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F529A">
              <w:rPr>
                <w:i/>
                <w:color w:val="000000" w:themeColor="text1"/>
                <w:sz w:val="18"/>
                <w:szCs w:val="18"/>
              </w:rPr>
              <w:t>2) dokonywanie napraw budynku, jego pomieszczeń i urządzeń, o których mowa w pkt 1, oraz przywr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ó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cenie poprzedniego stanu budynku uszkodzonego, niezależnie od przyczyn, z tym że najemcę obci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ą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ża obowiązek pokrycia strat powst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łych z jego winy;</w:t>
            </w:r>
          </w:p>
          <w:p w14:paraId="40B9A8C8" w14:textId="77777777" w:rsidR="00AF529A" w:rsidRPr="00AF529A" w:rsidRDefault="00AF529A" w:rsidP="00AC7F26">
            <w:pPr>
              <w:ind w:left="561" w:hanging="198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F529A">
              <w:rPr>
                <w:i/>
                <w:color w:val="000000" w:themeColor="text1"/>
                <w:sz w:val="18"/>
                <w:szCs w:val="18"/>
              </w:rPr>
              <w:t>3) dokonywanie napraw lokalu, napraw lub wymiany instalacji i elementów wyposażenia techniczn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go w zakresie nieobciążającym najemcy, a zwłaszcza:</w:t>
            </w:r>
          </w:p>
          <w:p w14:paraId="2D8CE091" w14:textId="27EDC50D" w:rsidR="00AF529A" w:rsidRPr="00AF529A" w:rsidRDefault="00AF529A" w:rsidP="00097F7C">
            <w:pPr>
              <w:ind w:left="748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F529A">
              <w:rPr>
                <w:i/>
                <w:color w:val="000000" w:themeColor="text1"/>
                <w:sz w:val="18"/>
                <w:szCs w:val="18"/>
              </w:rPr>
              <w:t>a) napraw i wymiany wewnętrznych instalacji: wodociągowej, gazowej i ciepłej wody - bez arm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 xml:space="preserve">tury </w:t>
            </w:r>
            <w:r>
              <w:rPr>
                <w:i/>
                <w:color w:val="000000" w:themeColor="text1"/>
                <w:sz w:val="18"/>
                <w:szCs w:val="18"/>
              </w:rPr>
              <w:br/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i wyposażenia, a także napraw i wymiany wewnętrznej instalacji kanalizacyjnej, centralnego ogrzewania wraz z grzejnikami, instalacji ele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k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trycznej, anteny zbiorczej - z wyjątkiem osprzętu,</w:t>
            </w:r>
          </w:p>
          <w:p w14:paraId="2E03EA2D" w14:textId="4F5215EB" w:rsidR="00E31F6A" w:rsidRPr="00097F7C" w:rsidRDefault="00AF529A" w:rsidP="00097F7C">
            <w:pPr>
              <w:ind w:left="748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F529A">
              <w:rPr>
                <w:i/>
                <w:color w:val="000000" w:themeColor="text1"/>
                <w:sz w:val="18"/>
                <w:szCs w:val="18"/>
              </w:rPr>
              <w:t>b) wymiany pieców grzewczych, stolarki okiennej i drzwiowej oraz podłóg, posadzek i wykładzin po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d</w:t>
            </w:r>
            <w:r w:rsidRPr="00AF529A">
              <w:rPr>
                <w:i/>
                <w:color w:val="000000" w:themeColor="text1"/>
                <w:sz w:val="18"/>
                <w:szCs w:val="18"/>
              </w:rPr>
              <w:t>łogowych, a także tynków.</w:t>
            </w:r>
          </w:p>
          <w:p w14:paraId="5844B474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04597E" w14:paraId="3D9A2642" w14:textId="77777777" w:rsidTr="00070CC8">
        <w:tc>
          <w:tcPr>
            <w:tcW w:w="1165" w:type="dxa"/>
          </w:tcPr>
          <w:p w14:paraId="7EC311F6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1C951390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0C577D26" w14:textId="37390783" w:rsidR="00070CC8" w:rsidRPr="00070CC8" w:rsidRDefault="0004597E" w:rsidP="00070CC8">
            <w:pPr>
              <w:spacing w:after="100"/>
              <w:rPr>
                <w:color w:val="000000" w:themeColor="text1"/>
                <w:sz w:val="18"/>
                <w:szCs w:val="18"/>
              </w:rPr>
            </w:pPr>
            <w:r w:rsidRPr="00070CC8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70CC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70CC8" w:rsidRPr="00070CC8">
              <w:rPr>
                <w:color w:val="000000" w:themeColor="text1"/>
                <w:sz w:val="18"/>
                <w:szCs w:val="18"/>
              </w:rPr>
              <w:t xml:space="preserve">Zgodnie z Ustawą z dnia 21 czerwca 2001 r. o ochronie praw lokatorów, mieszkaniowym zasobie gminy </w:t>
            </w:r>
            <w:r w:rsidR="00070CC8" w:rsidRPr="00070CC8">
              <w:rPr>
                <w:color w:val="000000" w:themeColor="text1"/>
                <w:sz w:val="18"/>
                <w:szCs w:val="18"/>
              </w:rPr>
              <w:br/>
              <w:t>i o zmianie Kodeksu cywilnego (Dz. U. z 2014 r. poz. 150 tekst jednolity ze zm.) (art. 6b ):</w:t>
            </w:r>
          </w:p>
          <w:p w14:paraId="4C3DDAC9" w14:textId="77777777" w:rsidR="00070CC8" w:rsidRPr="00070CC8" w:rsidRDefault="00070CC8" w:rsidP="00070CC8">
            <w:pPr>
              <w:ind w:left="39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Najemcę obciąża naprawa i konserwacja:</w:t>
            </w:r>
          </w:p>
          <w:p w14:paraId="7BFF338C" w14:textId="77777777" w:rsidR="00070CC8" w:rsidRPr="00070CC8" w:rsidRDefault="00070CC8" w:rsidP="00070CC8">
            <w:pPr>
              <w:ind w:left="39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1) podłóg, posadzek, wykładzin podłogowych oraz ściennych okładzin ceramicznych, szklanych i i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n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nych;</w:t>
            </w:r>
          </w:p>
          <w:p w14:paraId="08697C98" w14:textId="77777777" w:rsidR="00070CC8" w:rsidRPr="00070CC8" w:rsidRDefault="00070CC8" w:rsidP="00070CC8">
            <w:pPr>
              <w:ind w:left="39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2) okien i drzwi;</w:t>
            </w:r>
          </w:p>
          <w:p w14:paraId="51DD9B13" w14:textId="77777777" w:rsidR="00070CC8" w:rsidRPr="00070CC8" w:rsidRDefault="00070CC8" w:rsidP="00070CC8">
            <w:pPr>
              <w:ind w:left="39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3) wbudowanych mebli, łącznie z ich wymianą;</w:t>
            </w:r>
          </w:p>
          <w:p w14:paraId="3D930929" w14:textId="77777777" w:rsidR="00070CC8" w:rsidRPr="00070CC8" w:rsidRDefault="00070CC8" w:rsidP="001A7BD0">
            <w:pPr>
              <w:ind w:left="58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4) trzonów kuchennych, kuchni i grzejników wody przepływowej (gazowych, elektrycznych i węgl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wych), podgrzewaczy wody, wanien, brodzików, mis klozetowych, zlewozmywaków i umywalek wraz z syfonami, baterii i zaworów czerpalnych oraz innych urządzeń sanitarnych, w które lokal jest wyp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sażony, łącznie z ich wymianą;</w:t>
            </w:r>
          </w:p>
          <w:p w14:paraId="4CD33AE4" w14:textId="77777777" w:rsidR="00070CC8" w:rsidRPr="00070CC8" w:rsidRDefault="00070CC8" w:rsidP="00070CC8">
            <w:pPr>
              <w:ind w:left="584" w:hanging="18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5) osprzętu i zabezpieczeń instalacji elektrycznej, z wyłączeniem wymiany przewodów oraz osprzętu a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n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teny zbiorczej;</w:t>
            </w:r>
          </w:p>
          <w:p w14:paraId="5E87243A" w14:textId="77777777" w:rsidR="00070CC8" w:rsidRPr="00070CC8" w:rsidRDefault="00070CC8" w:rsidP="00070CC8">
            <w:pPr>
              <w:ind w:left="39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6) pieców węglowych i akumulacyjnych, łącznie z wymianą zużytych elementów;</w:t>
            </w:r>
          </w:p>
          <w:p w14:paraId="0185B864" w14:textId="77777777" w:rsidR="00070CC8" w:rsidRPr="00070CC8" w:rsidRDefault="00070CC8" w:rsidP="00070CC8">
            <w:pPr>
              <w:ind w:left="584" w:hanging="18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7) etażowego centralnego ogrzewania, a w przypadku gdy nie zostało ono zainstalowane na koszt w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y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najmującego, także jego wymiana;</w:t>
            </w:r>
          </w:p>
          <w:p w14:paraId="01FF765A" w14:textId="77777777" w:rsidR="00070CC8" w:rsidRPr="00070CC8" w:rsidRDefault="00070CC8" w:rsidP="00070CC8">
            <w:pPr>
              <w:ind w:left="584" w:hanging="18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8) przewodów odpływowych urządzeń sanitarnych aż do pionów zbiorczych, w tym niezwłoczne usuw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070CC8">
              <w:rPr>
                <w:i/>
                <w:color w:val="000000" w:themeColor="text1"/>
                <w:sz w:val="18"/>
                <w:szCs w:val="18"/>
              </w:rPr>
              <w:t>nie ich niedrożności;</w:t>
            </w:r>
          </w:p>
          <w:p w14:paraId="406BF9A4" w14:textId="77777777" w:rsidR="00070CC8" w:rsidRPr="00070CC8" w:rsidRDefault="00070CC8" w:rsidP="00070CC8">
            <w:pPr>
              <w:ind w:left="39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9) innych elementów wyposażenia lokalu i pomieszczeń przynależnych przez:</w:t>
            </w:r>
          </w:p>
          <w:p w14:paraId="0954EE98" w14:textId="77777777" w:rsidR="00070CC8" w:rsidRPr="00070CC8" w:rsidRDefault="00070CC8" w:rsidP="00070CC8">
            <w:pPr>
              <w:ind w:left="56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a) malowanie lub tapetowanie oraz naprawę uszkodzeń tynków ścian i sufitów,</w:t>
            </w:r>
          </w:p>
          <w:p w14:paraId="1A51F891" w14:textId="77777777" w:rsidR="00070CC8" w:rsidRPr="00070CC8" w:rsidRDefault="00070CC8" w:rsidP="00070CC8">
            <w:pPr>
              <w:ind w:left="567"/>
              <w:rPr>
                <w:i/>
                <w:color w:val="000000" w:themeColor="text1"/>
                <w:sz w:val="18"/>
                <w:szCs w:val="18"/>
              </w:rPr>
            </w:pPr>
            <w:r w:rsidRPr="00070CC8">
              <w:rPr>
                <w:i/>
                <w:color w:val="000000" w:themeColor="text1"/>
                <w:sz w:val="18"/>
                <w:szCs w:val="18"/>
              </w:rPr>
              <w:t>b) malowanie drzwi i okien, wbudowanych mebli, urządzeń kuchennych, sanitarnych i grzewczych.</w:t>
            </w:r>
          </w:p>
          <w:p w14:paraId="1E1C4545" w14:textId="192A71AB" w:rsidR="0004597E" w:rsidRPr="0004597E" w:rsidRDefault="0004597E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04597E" w14:paraId="71F35A07" w14:textId="77777777" w:rsidTr="00070CC8">
        <w:tc>
          <w:tcPr>
            <w:tcW w:w="1165" w:type="dxa"/>
          </w:tcPr>
          <w:p w14:paraId="25C11387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7B16F762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3DB8A1EA" w14:textId="585A0B47" w:rsidR="0004597E" w:rsidRDefault="0004597E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A5393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1A7BD0">
              <w:rPr>
                <w:sz w:val="18"/>
                <w:szCs w:val="18"/>
              </w:rPr>
              <w:t>Niepotrzebne skreślić</w:t>
            </w:r>
          </w:p>
          <w:p w14:paraId="3B1D6689" w14:textId="515C802B" w:rsidR="001A7BD0" w:rsidRPr="00D5005C" w:rsidRDefault="001A7BD0" w:rsidP="00F45C59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04597E" w14:paraId="15C681C1" w14:textId="77777777" w:rsidTr="00070CC8">
        <w:tc>
          <w:tcPr>
            <w:tcW w:w="1165" w:type="dxa"/>
          </w:tcPr>
          <w:p w14:paraId="22216D43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77696367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79FAC6AE" w14:textId="77777777" w:rsidR="001A7BD0" w:rsidRPr="001A7BD0" w:rsidRDefault="0004597E" w:rsidP="001A7BD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A7BD0">
              <w:rPr>
                <w:color w:val="000000" w:themeColor="text1"/>
                <w:sz w:val="18"/>
                <w:szCs w:val="18"/>
                <w:vertAlign w:val="superscript"/>
              </w:rPr>
              <w:t xml:space="preserve">4 </w:t>
            </w:r>
            <w:r w:rsidR="001A7BD0" w:rsidRPr="001A7BD0">
              <w:rPr>
                <w:color w:val="000000" w:themeColor="text1"/>
                <w:sz w:val="18"/>
                <w:szCs w:val="18"/>
              </w:rPr>
              <w:t>Jeżeli umowa najmu lokalu mieszkalnego jest zawarta na czas oznaczony, to najemca może ją wypowi</w:t>
            </w:r>
            <w:r w:rsidR="001A7BD0" w:rsidRPr="001A7BD0">
              <w:rPr>
                <w:color w:val="000000" w:themeColor="text1"/>
                <w:sz w:val="18"/>
                <w:szCs w:val="18"/>
              </w:rPr>
              <w:t>e</w:t>
            </w:r>
            <w:r w:rsidR="001A7BD0" w:rsidRPr="001A7BD0">
              <w:rPr>
                <w:color w:val="000000" w:themeColor="text1"/>
                <w:sz w:val="18"/>
                <w:szCs w:val="18"/>
              </w:rPr>
              <w:t>dzieć tylko w przypadkach wymienionych w umowie, chyba że zachodzą okoliczności uprawniające go do wypowiedzenia umowy ze skutkiem natychmiastowym.</w:t>
            </w:r>
          </w:p>
          <w:p w14:paraId="21174BE0" w14:textId="7ED62FF5" w:rsidR="0004597E" w:rsidRPr="008A5393" w:rsidRDefault="0004597E" w:rsidP="00F45C59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4597E" w14:paraId="336C00FE" w14:textId="77777777" w:rsidTr="00070CC8">
        <w:tc>
          <w:tcPr>
            <w:tcW w:w="1165" w:type="dxa"/>
          </w:tcPr>
          <w:p w14:paraId="4D9471A5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52D8ADBE" w14:textId="77777777" w:rsidR="0004597E" w:rsidRPr="001A7BD0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5D8E33F4" w14:textId="37701B17" w:rsidR="0004597E" w:rsidRPr="001A7BD0" w:rsidRDefault="0004597E" w:rsidP="001A7BD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A7BD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5 </w:t>
            </w:r>
            <w:r w:rsidR="001A7BD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1A7BD0" w:rsidRPr="001A7BD0">
              <w:rPr>
                <w:color w:val="000000" w:themeColor="text1"/>
                <w:sz w:val="18"/>
                <w:szCs w:val="18"/>
              </w:rPr>
              <w:t xml:space="preserve">Zgodnie z Ustawą z dnia 21 czerwca 2001 r. o ochronie praw lokatorów, mieszkaniowym zasobie gminy </w:t>
            </w:r>
            <w:r w:rsidR="001A7BD0" w:rsidRPr="001A7BD0">
              <w:rPr>
                <w:color w:val="000000" w:themeColor="text1"/>
                <w:sz w:val="18"/>
                <w:szCs w:val="18"/>
              </w:rPr>
              <w:br/>
              <w:t>i o zmianie Kodeksu cywilnego (Dz. U. z 2014 r. poz. 150 tekst jednolity ze zm.) (art. 11 ):</w:t>
            </w:r>
          </w:p>
        </w:tc>
      </w:tr>
      <w:tr w:rsidR="0004597E" w14:paraId="7FA6C2EB" w14:textId="77777777" w:rsidTr="00324C5C">
        <w:tc>
          <w:tcPr>
            <w:tcW w:w="1165" w:type="dxa"/>
          </w:tcPr>
          <w:p w14:paraId="3F779C25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6AAE0F8E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bottom w:val="single" w:sz="4" w:space="0" w:color="auto"/>
            </w:tcBorders>
          </w:tcPr>
          <w:p w14:paraId="28514D44" w14:textId="77777777" w:rsidR="001A7BD0" w:rsidRPr="008F4A61" w:rsidRDefault="001A7BD0" w:rsidP="001A7BD0">
            <w:pPr>
              <w:ind w:left="584" w:hanging="187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F4A61">
              <w:rPr>
                <w:b/>
                <w:i/>
                <w:color w:val="000000" w:themeColor="text1"/>
                <w:sz w:val="18"/>
                <w:szCs w:val="18"/>
              </w:rPr>
              <w:t>Art. 11</w:t>
            </w:r>
          </w:p>
          <w:p w14:paraId="520DE93E" w14:textId="77777777" w:rsidR="001A7BD0" w:rsidRPr="001A7BD0" w:rsidRDefault="001A7BD0" w:rsidP="001A7BD0">
            <w:pPr>
              <w:ind w:left="58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1. Jeżeli lokator jest uprawniony do odpłatnego używania lokalu, wypowiedzenie przez właściciela st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sunku prawnego może nastąpić tylko z przyczyn określonych w ust. 2-5 oraz w art. 21 ust. 4 i 5 ninie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j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szej ustawy. Wypowiedzenie powinno być pod rygorem nieważności dokonane na piśmie oraz okr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ślać przyczynę wypowiedzenia.</w:t>
            </w:r>
          </w:p>
          <w:p w14:paraId="7AB9CA8F" w14:textId="77777777" w:rsidR="001A7BD0" w:rsidRPr="001A7BD0" w:rsidRDefault="001A7BD0" w:rsidP="001A7BD0">
            <w:pPr>
              <w:ind w:left="58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2. Nie później niż na miesiąc naprzód, na koniec miesiąca kalendarzowego, właściciel może wypowi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dzieć stosunek prawny, jeżeli lokator:</w:t>
            </w:r>
          </w:p>
          <w:p w14:paraId="449CC463" w14:textId="40595DD0" w:rsidR="001A7BD0" w:rsidRPr="001A7BD0" w:rsidRDefault="001A7BD0" w:rsidP="008F4A61">
            <w:pPr>
              <w:ind w:left="75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 xml:space="preserve">1) pomimo pisemnego upomnienia nadal używa lokalu w sposób sprzeczny z umową lub niezgodnie </w:t>
            </w:r>
            <w:r>
              <w:rPr>
                <w:i/>
                <w:color w:val="000000" w:themeColor="text1"/>
                <w:sz w:val="18"/>
                <w:szCs w:val="18"/>
              </w:rPr>
              <w:br/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      </w:r>
          </w:p>
          <w:p w14:paraId="4D26EE4B" w14:textId="4C1BDF7A" w:rsidR="001A7BD0" w:rsidRPr="001A7BD0" w:rsidRDefault="001A7BD0" w:rsidP="00324C5C">
            <w:pPr>
              <w:ind w:left="75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2) jest w zwłoce z zapłatą czynszu lub innych opłat za używanie lokalu co najmniej za trzy pełne okr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 xml:space="preserve">sy płatności pomimo uprzedzenia go na piśmie o zamiarze wypowiedzenia stosunku prawnego </w:t>
            </w:r>
            <w:r w:rsidR="008F4A61">
              <w:rPr>
                <w:i/>
                <w:color w:val="000000" w:themeColor="text1"/>
                <w:sz w:val="18"/>
                <w:szCs w:val="18"/>
              </w:rPr>
              <w:br/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i wyzn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czenia dodatkowego, miesięcznego terminu do zapłaty zaległych i bieżących należności, lub</w:t>
            </w:r>
          </w:p>
          <w:p w14:paraId="69909566" w14:textId="77777777" w:rsidR="001A7BD0" w:rsidRPr="001A7BD0" w:rsidRDefault="001A7BD0" w:rsidP="00324C5C">
            <w:pPr>
              <w:ind w:left="75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3) wynajął, podnajął albo oddał do bezpłatnego używania lokal lub jego część bez wymaganej p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i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semnej zgody właściciela, lub</w:t>
            </w:r>
          </w:p>
          <w:p w14:paraId="6AC0684E" w14:textId="77777777" w:rsidR="001A7BD0" w:rsidRPr="001A7BD0" w:rsidRDefault="001A7BD0" w:rsidP="00324C5C">
            <w:pPr>
              <w:ind w:left="75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4) używa lokalu, który wymaga opróżnienia w związku z koniecznością rozbiórki lub remontu budy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n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ku, z zastrzeżeniem art. 10 ust. 4.</w:t>
            </w:r>
          </w:p>
          <w:p w14:paraId="726E7B02" w14:textId="77777777" w:rsidR="001A7BD0" w:rsidRPr="001A7BD0" w:rsidRDefault="001A7BD0" w:rsidP="001A7BD0">
            <w:pPr>
              <w:ind w:left="58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lastRenderedPageBreak/>
              <w:t>3. Właściciel lokalu, w którym czynsz jest niższy niż 3% wartości odtworzeniowej lokalu w skali roku, może wypowiedzieć stosunek najmu:</w:t>
            </w:r>
          </w:p>
          <w:p w14:paraId="1371F38A" w14:textId="77777777" w:rsidR="001A7BD0" w:rsidRPr="001A7BD0" w:rsidRDefault="001A7BD0" w:rsidP="00324C5C">
            <w:pPr>
              <w:ind w:left="75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1) z zachowaniem sześciomiesięcznego terminu wypowiedzenia, z powodu niezamieszkiwania n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jemcy przez okres dłuższy niż 12 miesięcy;</w:t>
            </w:r>
          </w:p>
          <w:p w14:paraId="1598B9B2" w14:textId="77777777" w:rsidR="001A7BD0" w:rsidRPr="001A7BD0" w:rsidRDefault="001A7BD0" w:rsidP="00324C5C">
            <w:pPr>
              <w:ind w:left="75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2) z zachowaniem miesięcznego terminu wypowiedzenia, na koniec miesiąca kalendarzowego, os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bie, której przysługuje tytuł prawny do innego lokalu położonego w tej samej miejscowości, a lok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tor może używać tego lokalu, jeżeli lokal ten spełnia warunki przewidziane dla lokalu zamie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n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nego.</w:t>
            </w:r>
          </w:p>
          <w:p w14:paraId="1F189CDC" w14:textId="40A319A7" w:rsidR="001A7BD0" w:rsidRPr="001A7BD0" w:rsidRDefault="001A7BD0" w:rsidP="001A7BD0">
            <w:pPr>
              <w:ind w:left="58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4. Nie później niż na pół roku naprzód, na koniec miesiąca kalendarzowego, właściciel może wypowi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 xml:space="preserve">dzieć stosunek prawny, o ile zamierza zamieszkać w należącym do niego lokalu, jeżeli lokatorowi przysługuje tytuł do lokalu, w którym może zamieszkać w warunkach takich, jakby otrzymał lokal zamienny, lub jeżeli właściciel dostarczy mu lokal zamienny. W lokalu zamiennym wysokość czynszu </w:t>
            </w:r>
            <w:r w:rsidR="008F4A61">
              <w:rPr>
                <w:i/>
                <w:color w:val="000000" w:themeColor="text1"/>
                <w:sz w:val="18"/>
                <w:szCs w:val="18"/>
              </w:rPr>
              <w:br/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i opłat, z wyjątkiem opłat niezależnych od właściciela, musi uwzględniać stosunek powierzchni i w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y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posażenia lokalu zamiennego do lokalu zwalnianego.</w:t>
            </w:r>
          </w:p>
          <w:p w14:paraId="6B0F6050" w14:textId="0169D61E" w:rsidR="006571AC" w:rsidRPr="00324C5C" w:rsidRDefault="001A7BD0" w:rsidP="00324C5C">
            <w:pPr>
              <w:ind w:left="584" w:hanging="18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A7BD0">
              <w:rPr>
                <w:i/>
                <w:color w:val="000000" w:themeColor="text1"/>
                <w:sz w:val="18"/>
                <w:szCs w:val="18"/>
              </w:rPr>
              <w:t>5. Nie później niż na 3 lata naprzód, na koniec miesiąca kalendarzowego, właściciel może wyp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1A7BD0">
              <w:rPr>
                <w:i/>
                <w:color w:val="000000" w:themeColor="text1"/>
                <w:sz w:val="18"/>
                <w:szCs w:val="18"/>
              </w:rPr>
              <w:t>wiedzieć stosunek prawny lokatorowi, o ile zamierza zamieszkać w należącym do niego lokalu, a nie dostarcza mu lokalu zamiennego i lokatorowi nie przysługuje prawo do</w:t>
            </w:r>
            <w:r w:rsidR="00324C5C">
              <w:rPr>
                <w:i/>
                <w:color w:val="000000" w:themeColor="text1"/>
                <w:sz w:val="18"/>
                <w:szCs w:val="18"/>
              </w:rPr>
              <w:t xml:space="preserve"> lokalu, o którym mowa w ust. 4</w:t>
            </w:r>
          </w:p>
          <w:p w14:paraId="3297ABCE" w14:textId="4B91E14B" w:rsidR="006571AC" w:rsidRPr="0004597E" w:rsidRDefault="006571AC" w:rsidP="00F45C59">
            <w:pPr>
              <w:spacing w:line="220" w:lineRule="exact"/>
              <w:ind w:left="402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04597E" w14:paraId="5D250986" w14:textId="77777777" w:rsidTr="00324C5C">
        <w:tc>
          <w:tcPr>
            <w:tcW w:w="1165" w:type="dxa"/>
          </w:tcPr>
          <w:p w14:paraId="64B855CD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0EC088AB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</w:tcBorders>
          </w:tcPr>
          <w:p w14:paraId="799BF63D" w14:textId="77777777" w:rsidR="00324C5C" w:rsidRPr="00324C5C" w:rsidRDefault="00324C5C" w:rsidP="00324C5C">
            <w:pPr>
              <w:jc w:val="both"/>
              <w:rPr>
                <w:color w:val="FF0000"/>
                <w:sz w:val="18"/>
                <w:szCs w:val="18"/>
              </w:rPr>
            </w:pPr>
            <w:r w:rsidRPr="00324C5C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324C5C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 </w:t>
            </w:r>
            <w:r w:rsidRPr="00324C5C">
              <w:rPr>
                <w:color w:val="000000" w:themeColor="text1"/>
                <w:sz w:val="18"/>
                <w:szCs w:val="18"/>
              </w:rPr>
              <w:t>Maksymalnie 12-krotność miesięcznego czynszu najmu.</w:t>
            </w:r>
          </w:p>
          <w:p w14:paraId="0B47D0E1" w14:textId="2B1256E2" w:rsidR="0004597E" w:rsidRPr="0004597E" w:rsidRDefault="0004597E" w:rsidP="00F45C59">
            <w:pPr>
              <w:spacing w:line="220" w:lineRule="exact"/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B250B10" w14:textId="77777777" w:rsidR="004D1846" w:rsidRPr="00F214CD" w:rsidRDefault="004D1846" w:rsidP="002D6F24">
      <w:pPr>
        <w:spacing w:line="280" w:lineRule="exact"/>
        <w:jc w:val="both"/>
        <w:rPr>
          <w:rFonts w:ascii="Lato Regular" w:hAnsi="Lato Regular"/>
          <w:color w:val="FF0000"/>
        </w:rPr>
      </w:pPr>
      <w:bookmarkStart w:id="0" w:name="_GoBack"/>
      <w:bookmarkEnd w:id="0"/>
    </w:p>
    <w:sectPr w:rsidR="004D1846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10B5"/>
    <w:multiLevelType w:val="hybridMultilevel"/>
    <w:tmpl w:val="36BE7994"/>
    <w:lvl w:ilvl="0" w:tplc="5218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1107"/>
    <w:multiLevelType w:val="hybridMultilevel"/>
    <w:tmpl w:val="E182DD7E"/>
    <w:lvl w:ilvl="0" w:tplc="587C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713C9"/>
    <w:multiLevelType w:val="hybridMultilevel"/>
    <w:tmpl w:val="AE5EC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3062"/>
    <w:multiLevelType w:val="hybridMultilevel"/>
    <w:tmpl w:val="EF923768"/>
    <w:lvl w:ilvl="0" w:tplc="6AFCC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086D"/>
    <w:multiLevelType w:val="hybridMultilevel"/>
    <w:tmpl w:val="F6FA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55880"/>
    <w:multiLevelType w:val="hybridMultilevel"/>
    <w:tmpl w:val="7102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22C6"/>
    <w:multiLevelType w:val="hybridMultilevel"/>
    <w:tmpl w:val="522A9658"/>
    <w:lvl w:ilvl="0" w:tplc="B3A0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C3F4E"/>
    <w:multiLevelType w:val="hybridMultilevel"/>
    <w:tmpl w:val="376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4BC0"/>
    <w:multiLevelType w:val="hybridMultilevel"/>
    <w:tmpl w:val="BE8EE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75601"/>
    <w:multiLevelType w:val="hybridMultilevel"/>
    <w:tmpl w:val="7102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5A9C"/>
    <w:multiLevelType w:val="hybridMultilevel"/>
    <w:tmpl w:val="F6FA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61118"/>
    <w:multiLevelType w:val="hybridMultilevel"/>
    <w:tmpl w:val="376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2F1"/>
    <w:multiLevelType w:val="hybridMultilevel"/>
    <w:tmpl w:val="09848040"/>
    <w:lvl w:ilvl="0" w:tplc="B16E5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4D78"/>
    <w:multiLevelType w:val="hybridMultilevel"/>
    <w:tmpl w:val="7102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5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4597E"/>
    <w:rsid w:val="00054124"/>
    <w:rsid w:val="00063158"/>
    <w:rsid w:val="00070CC8"/>
    <w:rsid w:val="00097F7C"/>
    <w:rsid w:val="000A45DE"/>
    <w:rsid w:val="000C484D"/>
    <w:rsid w:val="00107BBA"/>
    <w:rsid w:val="00114341"/>
    <w:rsid w:val="0013658F"/>
    <w:rsid w:val="00170949"/>
    <w:rsid w:val="001730A8"/>
    <w:rsid w:val="001A7BD0"/>
    <w:rsid w:val="001B766B"/>
    <w:rsid w:val="00212BE6"/>
    <w:rsid w:val="00213E96"/>
    <w:rsid w:val="00245E89"/>
    <w:rsid w:val="00255B8A"/>
    <w:rsid w:val="00257D3A"/>
    <w:rsid w:val="002706C8"/>
    <w:rsid w:val="002D6F24"/>
    <w:rsid w:val="00313ACF"/>
    <w:rsid w:val="0032465A"/>
    <w:rsid w:val="00324C5C"/>
    <w:rsid w:val="003A6A13"/>
    <w:rsid w:val="003B5F14"/>
    <w:rsid w:val="003D47A2"/>
    <w:rsid w:val="003D5652"/>
    <w:rsid w:val="003D6F8E"/>
    <w:rsid w:val="00436E67"/>
    <w:rsid w:val="00466788"/>
    <w:rsid w:val="0047406C"/>
    <w:rsid w:val="004868F0"/>
    <w:rsid w:val="00493AAB"/>
    <w:rsid w:val="004B6598"/>
    <w:rsid w:val="004D1846"/>
    <w:rsid w:val="00572BBF"/>
    <w:rsid w:val="005B54FC"/>
    <w:rsid w:val="006571AC"/>
    <w:rsid w:val="00672A78"/>
    <w:rsid w:val="0068552F"/>
    <w:rsid w:val="00690337"/>
    <w:rsid w:val="006B627F"/>
    <w:rsid w:val="0073798D"/>
    <w:rsid w:val="00762211"/>
    <w:rsid w:val="0078497D"/>
    <w:rsid w:val="007E01CF"/>
    <w:rsid w:val="00847EA9"/>
    <w:rsid w:val="00854350"/>
    <w:rsid w:val="0088669C"/>
    <w:rsid w:val="008A5393"/>
    <w:rsid w:val="008A7DA6"/>
    <w:rsid w:val="008C2FB1"/>
    <w:rsid w:val="008F0EE0"/>
    <w:rsid w:val="008F4A61"/>
    <w:rsid w:val="00907B17"/>
    <w:rsid w:val="00970055"/>
    <w:rsid w:val="009C2A31"/>
    <w:rsid w:val="00A515D7"/>
    <w:rsid w:val="00A81C88"/>
    <w:rsid w:val="00AA1195"/>
    <w:rsid w:val="00AC7F26"/>
    <w:rsid w:val="00AF38C0"/>
    <w:rsid w:val="00AF529A"/>
    <w:rsid w:val="00B262F4"/>
    <w:rsid w:val="00C15CFB"/>
    <w:rsid w:val="00C23E18"/>
    <w:rsid w:val="00CE49E8"/>
    <w:rsid w:val="00D00670"/>
    <w:rsid w:val="00D5005C"/>
    <w:rsid w:val="00D640D2"/>
    <w:rsid w:val="00DA2A41"/>
    <w:rsid w:val="00E01A97"/>
    <w:rsid w:val="00E11D2B"/>
    <w:rsid w:val="00E31F6A"/>
    <w:rsid w:val="00E34408"/>
    <w:rsid w:val="00E74B5C"/>
    <w:rsid w:val="00E931B1"/>
    <w:rsid w:val="00EA3E24"/>
    <w:rsid w:val="00EB4E62"/>
    <w:rsid w:val="00F214CD"/>
    <w:rsid w:val="00F45C59"/>
    <w:rsid w:val="00F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1775</Words>
  <Characters>10651</Characters>
  <Application>Microsoft Macintosh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13</cp:revision>
  <dcterms:created xsi:type="dcterms:W3CDTF">2016-03-24T15:47:00Z</dcterms:created>
  <dcterms:modified xsi:type="dcterms:W3CDTF">2016-03-30T17:54:00Z</dcterms:modified>
</cp:coreProperties>
</file>